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6" w:rsidRDefault="00457833" w:rsidP="00457833">
      <w:pPr>
        <w:spacing w:after="0" w:line="240" w:lineRule="auto"/>
        <w:jc w:val="right"/>
        <w:rPr>
          <w:b/>
          <w:sz w:val="26"/>
          <w:szCs w:val="26"/>
        </w:rPr>
      </w:pPr>
      <w:r>
        <w:rPr>
          <w:b/>
          <w:sz w:val="26"/>
          <w:szCs w:val="26"/>
        </w:rPr>
        <w:t>04.10.2016</w:t>
      </w:r>
    </w:p>
    <w:p w:rsidR="00FB2B22" w:rsidRPr="00EE51D9" w:rsidRDefault="00FB2B22" w:rsidP="00FB2B22">
      <w:pPr>
        <w:spacing w:after="0" w:line="240" w:lineRule="auto"/>
        <w:jc w:val="center"/>
        <w:rPr>
          <w:b/>
          <w:sz w:val="26"/>
          <w:szCs w:val="26"/>
        </w:rPr>
      </w:pPr>
      <w:r w:rsidRPr="00EE51D9">
        <w:rPr>
          <w:b/>
          <w:sz w:val="26"/>
          <w:szCs w:val="26"/>
        </w:rPr>
        <w:t>Informatīvais ziņojums</w:t>
      </w:r>
    </w:p>
    <w:p w:rsidR="00304900" w:rsidRPr="00EE51D9" w:rsidRDefault="00304900" w:rsidP="00304900">
      <w:pPr>
        <w:spacing w:afterLines="60" w:after="144" w:line="240" w:lineRule="auto"/>
        <w:jc w:val="center"/>
        <w:rPr>
          <w:b/>
          <w:sz w:val="26"/>
          <w:szCs w:val="26"/>
        </w:rPr>
      </w:pPr>
      <w:r w:rsidRPr="00EE51D9">
        <w:rPr>
          <w:b/>
          <w:sz w:val="26"/>
          <w:szCs w:val="26"/>
        </w:rPr>
        <w:t xml:space="preserve">„Par valsts budžeta saistību uzņemšanos </w:t>
      </w:r>
      <w:r w:rsidR="00EE51D9" w:rsidRPr="00EE51D9">
        <w:rPr>
          <w:b/>
          <w:sz w:val="26"/>
          <w:szCs w:val="26"/>
        </w:rPr>
        <w:t>Eiropas Savienības programmas „Tiesības, vienlīdzība un pilsonība” 2014.-</w:t>
      </w:r>
      <w:r w:rsidR="00185E03" w:rsidRPr="00EE51D9">
        <w:rPr>
          <w:b/>
          <w:sz w:val="26"/>
          <w:szCs w:val="26"/>
        </w:rPr>
        <w:t>2020. gadam</w:t>
      </w:r>
      <w:r w:rsidRPr="00EE51D9">
        <w:rPr>
          <w:b/>
          <w:sz w:val="26"/>
          <w:szCs w:val="26"/>
        </w:rPr>
        <w:t xml:space="preserve"> līdzfinansētā projekta īstenošanai”</w:t>
      </w:r>
    </w:p>
    <w:p w:rsidR="00DD6802" w:rsidRDefault="00DD6802" w:rsidP="00497962">
      <w:pPr>
        <w:spacing w:afterLines="60" w:after="144" w:line="240" w:lineRule="auto"/>
        <w:ind w:firstLine="567"/>
        <w:jc w:val="both"/>
        <w:rPr>
          <w:sz w:val="26"/>
          <w:szCs w:val="26"/>
        </w:rPr>
      </w:pPr>
    </w:p>
    <w:p w:rsidR="00CA08FB" w:rsidRPr="004F4691" w:rsidRDefault="0034696A" w:rsidP="001C5142">
      <w:pPr>
        <w:spacing w:after="120" w:line="240" w:lineRule="auto"/>
        <w:ind w:firstLine="720"/>
        <w:jc w:val="both"/>
        <w:rPr>
          <w:b/>
          <w:sz w:val="26"/>
          <w:szCs w:val="26"/>
        </w:rPr>
      </w:pPr>
      <w:r w:rsidRPr="004F4691">
        <w:rPr>
          <w:b/>
          <w:sz w:val="26"/>
          <w:szCs w:val="26"/>
        </w:rPr>
        <w:t>1.</w:t>
      </w:r>
      <w:r w:rsidR="00CA08FB" w:rsidRPr="004F4691">
        <w:rPr>
          <w:b/>
          <w:sz w:val="26"/>
          <w:szCs w:val="26"/>
        </w:rPr>
        <w:t xml:space="preserve"> Pamatojums </w:t>
      </w:r>
      <w:r w:rsidR="00866A0D" w:rsidRPr="004F4691">
        <w:rPr>
          <w:b/>
          <w:sz w:val="26"/>
          <w:szCs w:val="26"/>
        </w:rPr>
        <w:t>i</w:t>
      </w:r>
      <w:r w:rsidR="00CA08FB" w:rsidRPr="004F4691">
        <w:rPr>
          <w:b/>
          <w:sz w:val="26"/>
          <w:szCs w:val="26"/>
        </w:rPr>
        <w:t>nformatīvā ziņojuma virzībai</w:t>
      </w:r>
    </w:p>
    <w:p w:rsidR="00EF0D33" w:rsidRPr="004F4691" w:rsidRDefault="00142C49" w:rsidP="00142C49">
      <w:pPr>
        <w:spacing w:after="120" w:line="240" w:lineRule="auto"/>
        <w:ind w:firstLine="720"/>
        <w:jc w:val="both"/>
      </w:pPr>
      <w:r w:rsidRPr="004F4691">
        <w:rPr>
          <w:bCs/>
          <w:sz w:val="26"/>
          <w:szCs w:val="26"/>
        </w:rPr>
        <w:t xml:space="preserve">Labklājības ministrija (turpmāk </w:t>
      </w:r>
      <w:r w:rsidR="00FB52A1" w:rsidRPr="004F4691">
        <w:rPr>
          <w:bCs/>
          <w:sz w:val="26"/>
          <w:szCs w:val="26"/>
        </w:rPr>
        <w:t>-</w:t>
      </w:r>
      <w:r w:rsidRPr="004F4691">
        <w:rPr>
          <w:bCs/>
          <w:sz w:val="26"/>
          <w:szCs w:val="26"/>
        </w:rPr>
        <w:t xml:space="preserve"> LM) ir atbildīga par politikas izstrādi darba, sociālās aizsardzības, bērnu un ģimenes tiesību, personu ar invaliditāti vienlīdzīgu iespēju un dzimumu līdztiesības jomā, un politikas pilnveid</w:t>
      </w:r>
      <w:bookmarkStart w:id="0" w:name="_GoBack"/>
      <w:bookmarkEnd w:id="0"/>
      <w:r w:rsidRPr="004F4691">
        <w:rPr>
          <w:bCs/>
          <w:sz w:val="26"/>
          <w:szCs w:val="26"/>
        </w:rPr>
        <w:t xml:space="preserve">ošanai ir svarīgi sekmēt nozarei prioritāru iniciatīvu īstenošanu, piesaistot Eiropas Savienības (turpmāk </w:t>
      </w:r>
      <w:r w:rsidR="00A44910" w:rsidRPr="004F4691">
        <w:rPr>
          <w:bCs/>
          <w:sz w:val="26"/>
          <w:szCs w:val="26"/>
        </w:rPr>
        <w:t>-</w:t>
      </w:r>
      <w:r w:rsidRPr="004F4691">
        <w:rPr>
          <w:bCs/>
          <w:sz w:val="26"/>
          <w:szCs w:val="26"/>
        </w:rPr>
        <w:t xml:space="preserve"> ES) politikas instrumentus un ārvalstu finanšu resursus.</w:t>
      </w:r>
      <w:r w:rsidR="00EF0D33" w:rsidRPr="004F4691">
        <w:t xml:space="preserve"> </w:t>
      </w:r>
    </w:p>
    <w:p w:rsidR="0011177E" w:rsidRDefault="006A01E3" w:rsidP="0011177E">
      <w:pPr>
        <w:spacing w:after="0" w:line="240" w:lineRule="auto"/>
        <w:ind w:firstLine="720"/>
        <w:jc w:val="both"/>
        <w:rPr>
          <w:sz w:val="26"/>
          <w:szCs w:val="26"/>
        </w:rPr>
      </w:pPr>
      <w:r w:rsidRPr="001C30B0">
        <w:rPr>
          <w:sz w:val="26"/>
          <w:szCs w:val="26"/>
        </w:rPr>
        <w:t xml:space="preserve">LM </w:t>
      </w:r>
      <w:r w:rsidR="00185E03" w:rsidRPr="001C30B0">
        <w:rPr>
          <w:sz w:val="26"/>
          <w:szCs w:val="26"/>
        </w:rPr>
        <w:t>2016. gada</w:t>
      </w:r>
      <w:r w:rsidR="00760546" w:rsidRPr="001C30B0">
        <w:rPr>
          <w:sz w:val="26"/>
          <w:szCs w:val="26"/>
        </w:rPr>
        <w:t xml:space="preserve"> </w:t>
      </w:r>
      <w:r w:rsidR="00185E03" w:rsidRPr="001C30B0">
        <w:rPr>
          <w:sz w:val="26"/>
          <w:szCs w:val="26"/>
        </w:rPr>
        <w:t>1. jūnijā</w:t>
      </w:r>
      <w:r w:rsidR="00760546" w:rsidRPr="001C30B0">
        <w:rPr>
          <w:sz w:val="26"/>
          <w:szCs w:val="26"/>
        </w:rPr>
        <w:t xml:space="preserve"> ES programma</w:t>
      </w:r>
      <w:r w:rsidR="00940004">
        <w:rPr>
          <w:sz w:val="26"/>
          <w:szCs w:val="26"/>
        </w:rPr>
        <w:t>s</w:t>
      </w:r>
      <w:r w:rsidR="00760546" w:rsidRPr="001C30B0">
        <w:rPr>
          <w:sz w:val="26"/>
          <w:szCs w:val="26"/>
        </w:rPr>
        <w:t xml:space="preserve"> „</w:t>
      </w:r>
      <w:r w:rsidR="00760546" w:rsidRPr="00940004">
        <w:rPr>
          <w:sz w:val="26"/>
          <w:szCs w:val="26"/>
        </w:rPr>
        <w:t>Tiesības, vienlīdzība un pilsonība” 2014.-2020.</w:t>
      </w:r>
      <w:r w:rsidR="00185E03">
        <w:rPr>
          <w:sz w:val="26"/>
          <w:szCs w:val="26"/>
        </w:rPr>
        <w:t> </w:t>
      </w:r>
      <w:r w:rsidR="00760546" w:rsidRPr="00940004">
        <w:rPr>
          <w:sz w:val="26"/>
          <w:szCs w:val="26"/>
        </w:rPr>
        <w:t xml:space="preserve">gadam </w:t>
      </w:r>
      <w:r w:rsidR="00760546" w:rsidRPr="00C47204">
        <w:rPr>
          <w:sz w:val="26"/>
          <w:szCs w:val="26"/>
        </w:rPr>
        <w:t xml:space="preserve">(turpmāk </w:t>
      </w:r>
      <w:r w:rsidR="00760546">
        <w:rPr>
          <w:sz w:val="26"/>
          <w:szCs w:val="26"/>
        </w:rPr>
        <w:t>-</w:t>
      </w:r>
      <w:r w:rsidR="00760546" w:rsidRPr="00C47204">
        <w:rPr>
          <w:sz w:val="26"/>
          <w:szCs w:val="26"/>
        </w:rPr>
        <w:t xml:space="preserve"> ES programma)</w:t>
      </w:r>
      <w:r w:rsidR="00940004">
        <w:rPr>
          <w:sz w:val="26"/>
          <w:szCs w:val="26"/>
        </w:rPr>
        <w:t xml:space="preserve"> finansējuma piesaistei iesniedza</w:t>
      </w:r>
      <w:r w:rsidR="00760546">
        <w:rPr>
          <w:sz w:val="26"/>
          <w:szCs w:val="26"/>
        </w:rPr>
        <w:t xml:space="preserve"> </w:t>
      </w:r>
      <w:r w:rsidR="001C30B0" w:rsidRPr="001C30B0">
        <w:rPr>
          <w:sz w:val="26"/>
          <w:szCs w:val="26"/>
        </w:rPr>
        <w:t>projekt</w:t>
      </w:r>
      <w:r>
        <w:rPr>
          <w:sz w:val="26"/>
          <w:szCs w:val="26"/>
        </w:rPr>
        <w:t>a</w:t>
      </w:r>
      <w:r w:rsidR="001C30B0" w:rsidRPr="001C30B0">
        <w:rPr>
          <w:sz w:val="26"/>
          <w:szCs w:val="26"/>
        </w:rPr>
        <w:t xml:space="preserve"> pieteikumu </w:t>
      </w:r>
      <w:r w:rsidRPr="001C30B0">
        <w:rPr>
          <w:sz w:val="26"/>
          <w:szCs w:val="26"/>
          <w:u w:val="single"/>
        </w:rPr>
        <w:t>vardarbības ģimenē novēršanas jomā</w:t>
      </w:r>
      <w:r w:rsidRPr="001C30B0">
        <w:rPr>
          <w:sz w:val="26"/>
          <w:szCs w:val="26"/>
        </w:rPr>
        <w:t xml:space="preserve"> „</w:t>
      </w:r>
      <w:r w:rsidRPr="00940004">
        <w:rPr>
          <w:b/>
          <w:sz w:val="26"/>
          <w:szCs w:val="26"/>
        </w:rPr>
        <w:t xml:space="preserve">Soli tuvāk: </w:t>
      </w:r>
      <w:r w:rsidRPr="00940004">
        <w:rPr>
          <w:b/>
          <w:iCs/>
          <w:sz w:val="26"/>
          <w:szCs w:val="26"/>
        </w:rPr>
        <w:t>Kopienas vienotā atbilde uz vardarbības pret sievietēm gadījumiem</w:t>
      </w:r>
      <w:r w:rsidRPr="001C30B0">
        <w:rPr>
          <w:sz w:val="26"/>
          <w:szCs w:val="26"/>
        </w:rPr>
        <w:t>” („</w:t>
      </w:r>
      <w:r w:rsidRPr="00940004">
        <w:rPr>
          <w:i/>
          <w:sz w:val="26"/>
          <w:szCs w:val="26"/>
        </w:rPr>
        <w:t xml:space="preserve">ONE STEP CLOSER: </w:t>
      </w:r>
      <w:proofErr w:type="spellStart"/>
      <w:r w:rsidRPr="00940004">
        <w:rPr>
          <w:i/>
          <w:sz w:val="26"/>
          <w:szCs w:val="26"/>
        </w:rPr>
        <w:t>Coordinated</w:t>
      </w:r>
      <w:proofErr w:type="spellEnd"/>
      <w:r w:rsidRPr="00940004">
        <w:rPr>
          <w:i/>
          <w:sz w:val="26"/>
          <w:szCs w:val="26"/>
        </w:rPr>
        <w:t xml:space="preserve"> </w:t>
      </w:r>
      <w:proofErr w:type="spellStart"/>
      <w:r w:rsidRPr="00940004">
        <w:rPr>
          <w:i/>
          <w:sz w:val="26"/>
          <w:szCs w:val="26"/>
        </w:rPr>
        <w:t>Community</w:t>
      </w:r>
      <w:proofErr w:type="spellEnd"/>
      <w:r w:rsidRPr="00940004">
        <w:rPr>
          <w:i/>
          <w:sz w:val="26"/>
          <w:szCs w:val="26"/>
        </w:rPr>
        <w:t xml:space="preserve"> </w:t>
      </w:r>
      <w:proofErr w:type="spellStart"/>
      <w:r w:rsidRPr="00940004">
        <w:rPr>
          <w:i/>
          <w:sz w:val="26"/>
          <w:szCs w:val="26"/>
        </w:rPr>
        <w:t>Response</w:t>
      </w:r>
      <w:proofErr w:type="spellEnd"/>
      <w:r w:rsidRPr="00940004">
        <w:rPr>
          <w:i/>
          <w:sz w:val="26"/>
          <w:szCs w:val="26"/>
        </w:rPr>
        <w:t xml:space="preserve"> to </w:t>
      </w:r>
      <w:proofErr w:type="spellStart"/>
      <w:r w:rsidRPr="00940004">
        <w:rPr>
          <w:i/>
          <w:sz w:val="26"/>
          <w:szCs w:val="26"/>
        </w:rPr>
        <w:t>Violence</w:t>
      </w:r>
      <w:proofErr w:type="spellEnd"/>
      <w:r w:rsidRPr="00940004">
        <w:rPr>
          <w:i/>
          <w:sz w:val="26"/>
          <w:szCs w:val="26"/>
        </w:rPr>
        <w:t xml:space="preserve"> </w:t>
      </w:r>
      <w:proofErr w:type="spellStart"/>
      <w:r w:rsidRPr="00940004">
        <w:rPr>
          <w:i/>
          <w:sz w:val="26"/>
          <w:szCs w:val="26"/>
        </w:rPr>
        <w:t>Against</w:t>
      </w:r>
      <w:proofErr w:type="spellEnd"/>
      <w:r w:rsidRPr="00940004">
        <w:rPr>
          <w:i/>
          <w:sz w:val="26"/>
          <w:szCs w:val="26"/>
        </w:rPr>
        <w:t xml:space="preserve"> </w:t>
      </w:r>
      <w:proofErr w:type="spellStart"/>
      <w:r w:rsidRPr="00940004">
        <w:rPr>
          <w:i/>
          <w:sz w:val="26"/>
          <w:szCs w:val="26"/>
        </w:rPr>
        <w:t>Women</w:t>
      </w:r>
      <w:proofErr w:type="spellEnd"/>
      <w:r w:rsidRPr="001C30B0">
        <w:rPr>
          <w:sz w:val="26"/>
          <w:szCs w:val="26"/>
        </w:rPr>
        <w:t xml:space="preserve">”). </w:t>
      </w:r>
      <w:r w:rsidR="001C30B0" w:rsidRPr="001C30B0">
        <w:rPr>
          <w:sz w:val="26"/>
          <w:szCs w:val="26"/>
        </w:rPr>
        <w:t>Projekta apstiprināšanas gadījumā t</w:t>
      </w:r>
      <w:r w:rsidR="00CF09DD">
        <w:rPr>
          <w:sz w:val="26"/>
          <w:szCs w:val="26"/>
        </w:rPr>
        <w:t>ā</w:t>
      </w:r>
      <w:r w:rsidR="001C30B0" w:rsidRPr="001C30B0">
        <w:rPr>
          <w:sz w:val="26"/>
          <w:szCs w:val="26"/>
        </w:rPr>
        <w:t xml:space="preserve"> īstenošanai būs nepieciešams nacionālais līdzfinansējums</w:t>
      </w:r>
      <w:r w:rsidR="00EE51D9">
        <w:rPr>
          <w:sz w:val="26"/>
          <w:szCs w:val="26"/>
        </w:rPr>
        <w:t xml:space="preserve"> u</w:t>
      </w:r>
      <w:r w:rsidR="0011177E" w:rsidRPr="004F4691">
        <w:rPr>
          <w:sz w:val="26"/>
          <w:szCs w:val="26"/>
        </w:rPr>
        <w:t>n priekšfinansējums.</w:t>
      </w:r>
    </w:p>
    <w:p w:rsidR="00476E1B" w:rsidRDefault="00476E1B" w:rsidP="008D2817">
      <w:pPr>
        <w:spacing w:after="120" w:line="240" w:lineRule="auto"/>
        <w:ind w:firstLine="720"/>
        <w:jc w:val="both"/>
        <w:rPr>
          <w:sz w:val="26"/>
          <w:szCs w:val="26"/>
        </w:rPr>
      </w:pPr>
      <w:r w:rsidRPr="004F4691">
        <w:rPr>
          <w:sz w:val="26"/>
          <w:szCs w:val="26"/>
        </w:rPr>
        <w:t xml:space="preserve">Tādējādi, </w:t>
      </w:r>
      <w:r w:rsidR="00431885" w:rsidRPr="004F4691">
        <w:rPr>
          <w:sz w:val="26"/>
          <w:szCs w:val="26"/>
        </w:rPr>
        <w:t>ievērojot nacionāl</w:t>
      </w:r>
      <w:r w:rsidR="00866A0D" w:rsidRPr="004F4691">
        <w:rPr>
          <w:sz w:val="26"/>
          <w:szCs w:val="26"/>
        </w:rPr>
        <w:t>aj</w:t>
      </w:r>
      <w:r w:rsidR="00431885" w:rsidRPr="004F4691">
        <w:rPr>
          <w:sz w:val="26"/>
          <w:szCs w:val="26"/>
        </w:rPr>
        <w:t>ā regulējum</w:t>
      </w:r>
      <w:r w:rsidR="00866A0D" w:rsidRPr="004F4691">
        <w:rPr>
          <w:sz w:val="26"/>
          <w:szCs w:val="26"/>
        </w:rPr>
        <w:t>ā</w:t>
      </w:r>
      <w:r w:rsidR="00431885" w:rsidRPr="004F4691">
        <w:rPr>
          <w:sz w:val="26"/>
          <w:szCs w:val="26"/>
          <w:vertAlign w:val="superscript"/>
        </w:rPr>
        <w:footnoteReference w:id="1"/>
      </w:r>
      <w:r w:rsidR="00431885" w:rsidRPr="004F4691">
        <w:rPr>
          <w:sz w:val="26"/>
          <w:szCs w:val="26"/>
        </w:rPr>
        <w:t xml:space="preserve"> noteikto kārtību, kādā budžeta iestādes var uzņemties saistības ES politikas instrumentu un pārējās ārvalstu finanšu palīdzības līdzfinansētos projektos un pasākumos, </w:t>
      </w:r>
      <w:r w:rsidRPr="004F4691">
        <w:rPr>
          <w:sz w:val="26"/>
          <w:szCs w:val="26"/>
        </w:rPr>
        <w:t xml:space="preserve">LM </w:t>
      </w:r>
      <w:r w:rsidR="00431885" w:rsidRPr="004F4691">
        <w:rPr>
          <w:sz w:val="26"/>
          <w:szCs w:val="26"/>
        </w:rPr>
        <w:t xml:space="preserve">ir sagatavojusi informatīvo ziņojumu, lai tiktu pieņemts Ministru kabineta lēmums </w:t>
      </w:r>
      <w:r w:rsidRPr="004F4691">
        <w:rPr>
          <w:sz w:val="26"/>
          <w:szCs w:val="26"/>
        </w:rPr>
        <w:t>par iespēju uzņemties valsts budžeta ilgtermiņa saistības starptautisku projektu īstenošanai.</w:t>
      </w:r>
    </w:p>
    <w:p w:rsidR="00DA2CD5" w:rsidRPr="004F4691" w:rsidRDefault="00DA2CD5" w:rsidP="005F776A">
      <w:pPr>
        <w:spacing w:after="0" w:line="240" w:lineRule="auto"/>
        <w:ind w:firstLine="720"/>
        <w:jc w:val="both"/>
        <w:rPr>
          <w:sz w:val="26"/>
          <w:szCs w:val="26"/>
        </w:rPr>
      </w:pPr>
    </w:p>
    <w:p w:rsidR="00EE51D9" w:rsidRPr="00C47204" w:rsidRDefault="00C47204" w:rsidP="00EE51D9">
      <w:pPr>
        <w:spacing w:after="120" w:line="240" w:lineRule="auto"/>
        <w:ind w:firstLine="720"/>
        <w:jc w:val="both"/>
        <w:rPr>
          <w:b/>
          <w:sz w:val="26"/>
          <w:szCs w:val="26"/>
        </w:rPr>
      </w:pPr>
      <w:r>
        <w:rPr>
          <w:b/>
          <w:sz w:val="26"/>
          <w:szCs w:val="26"/>
        </w:rPr>
        <w:t xml:space="preserve">2. </w:t>
      </w:r>
      <w:r w:rsidR="00EE51D9" w:rsidRPr="00C47204">
        <w:rPr>
          <w:b/>
          <w:sz w:val="26"/>
          <w:szCs w:val="26"/>
        </w:rPr>
        <w:t>ES programma un tās finansēšanas nosacījumi</w:t>
      </w:r>
    </w:p>
    <w:p w:rsidR="00075029" w:rsidRPr="008306F2" w:rsidRDefault="00075029" w:rsidP="00EE51D9">
      <w:pPr>
        <w:spacing w:after="120" w:line="240" w:lineRule="auto"/>
        <w:ind w:firstLine="720"/>
        <w:jc w:val="both"/>
        <w:rPr>
          <w:bCs/>
          <w:sz w:val="26"/>
          <w:szCs w:val="26"/>
        </w:rPr>
      </w:pPr>
      <w:r w:rsidRPr="00C47204">
        <w:rPr>
          <w:bCs/>
          <w:sz w:val="26"/>
          <w:szCs w:val="26"/>
        </w:rPr>
        <w:t>ES programma</w:t>
      </w:r>
      <w:r w:rsidRPr="00C47204">
        <w:rPr>
          <w:bCs/>
          <w:i/>
          <w:sz w:val="26"/>
          <w:szCs w:val="26"/>
        </w:rPr>
        <w:t xml:space="preserve"> </w:t>
      </w:r>
      <w:r w:rsidRPr="00C47204">
        <w:rPr>
          <w:bCs/>
          <w:sz w:val="26"/>
          <w:szCs w:val="26"/>
        </w:rPr>
        <w:t xml:space="preserve">izveidota ar Eiropas Parlamenta un Padomes </w:t>
      </w:r>
      <w:r w:rsidR="00185E03" w:rsidRPr="00C47204">
        <w:rPr>
          <w:bCs/>
          <w:sz w:val="26"/>
          <w:szCs w:val="26"/>
        </w:rPr>
        <w:t>2013.</w:t>
      </w:r>
      <w:r w:rsidR="00185E03">
        <w:rPr>
          <w:bCs/>
          <w:sz w:val="26"/>
          <w:szCs w:val="26"/>
        </w:rPr>
        <w:t> </w:t>
      </w:r>
      <w:r w:rsidR="00185E03" w:rsidRPr="00C47204">
        <w:rPr>
          <w:bCs/>
          <w:sz w:val="26"/>
          <w:szCs w:val="26"/>
        </w:rPr>
        <w:t>gada</w:t>
      </w:r>
      <w:r w:rsidRPr="00C47204">
        <w:rPr>
          <w:bCs/>
          <w:sz w:val="26"/>
          <w:szCs w:val="26"/>
        </w:rPr>
        <w:t xml:space="preserve"> </w:t>
      </w:r>
      <w:r w:rsidR="00185E03" w:rsidRPr="00C47204">
        <w:rPr>
          <w:bCs/>
          <w:sz w:val="26"/>
          <w:szCs w:val="26"/>
        </w:rPr>
        <w:t>17.</w:t>
      </w:r>
      <w:r w:rsidR="00185E03">
        <w:rPr>
          <w:bCs/>
          <w:sz w:val="26"/>
          <w:szCs w:val="26"/>
        </w:rPr>
        <w:t> </w:t>
      </w:r>
      <w:r w:rsidR="00185E03" w:rsidRPr="00C47204">
        <w:rPr>
          <w:bCs/>
          <w:sz w:val="26"/>
          <w:szCs w:val="26"/>
        </w:rPr>
        <w:t>decembra</w:t>
      </w:r>
      <w:r w:rsidRPr="00C47204">
        <w:rPr>
          <w:bCs/>
          <w:sz w:val="26"/>
          <w:szCs w:val="26"/>
        </w:rPr>
        <w:t xml:space="preserve"> regulu Nr.1381/2013, ar ko izveido programmu “Tiesības, vienlīdzība un pilsonība” laikposmam no </w:t>
      </w:r>
      <w:r w:rsidR="00185E03" w:rsidRPr="00C47204">
        <w:rPr>
          <w:bCs/>
          <w:sz w:val="26"/>
          <w:szCs w:val="26"/>
        </w:rPr>
        <w:t>2014.</w:t>
      </w:r>
      <w:r w:rsidR="00185E03">
        <w:rPr>
          <w:bCs/>
          <w:sz w:val="26"/>
          <w:szCs w:val="26"/>
        </w:rPr>
        <w:t> </w:t>
      </w:r>
      <w:r w:rsidR="00185E03" w:rsidRPr="00C47204">
        <w:rPr>
          <w:bCs/>
          <w:sz w:val="26"/>
          <w:szCs w:val="26"/>
        </w:rPr>
        <w:t>gada</w:t>
      </w:r>
      <w:r w:rsidRPr="00C47204">
        <w:rPr>
          <w:bCs/>
          <w:sz w:val="26"/>
          <w:szCs w:val="26"/>
        </w:rPr>
        <w:t xml:space="preserve"> līdz </w:t>
      </w:r>
      <w:r w:rsidR="00185E03" w:rsidRPr="00C47204">
        <w:rPr>
          <w:bCs/>
          <w:sz w:val="26"/>
          <w:szCs w:val="26"/>
        </w:rPr>
        <w:t>2020.</w:t>
      </w:r>
      <w:r w:rsidR="00185E03">
        <w:rPr>
          <w:bCs/>
          <w:sz w:val="26"/>
          <w:szCs w:val="26"/>
        </w:rPr>
        <w:t> </w:t>
      </w:r>
      <w:r w:rsidR="00185E03" w:rsidRPr="00C47204">
        <w:rPr>
          <w:bCs/>
          <w:sz w:val="26"/>
          <w:szCs w:val="26"/>
        </w:rPr>
        <w:t>gadam</w:t>
      </w:r>
      <w:r w:rsidRPr="00C47204">
        <w:rPr>
          <w:bCs/>
          <w:sz w:val="26"/>
          <w:szCs w:val="26"/>
        </w:rPr>
        <w:t xml:space="preserve"> (</w:t>
      </w:r>
      <w:r w:rsidRPr="00C47204">
        <w:rPr>
          <w:bCs/>
          <w:i/>
          <w:sz w:val="26"/>
          <w:szCs w:val="26"/>
        </w:rPr>
        <w:t>http://eur-lex.europa.eu/legal-</w:t>
      </w:r>
      <w:r w:rsidRPr="009869E6">
        <w:rPr>
          <w:bCs/>
          <w:i/>
          <w:sz w:val="26"/>
          <w:szCs w:val="26"/>
        </w:rPr>
        <w:t>content/LV/TXT/PDF/?uri=CELEX:32013R1381&amp;qid=1399444831539&amp;from=LV</w:t>
      </w:r>
      <w:r>
        <w:rPr>
          <w:bCs/>
          <w:sz w:val="26"/>
          <w:szCs w:val="26"/>
        </w:rPr>
        <w:t>)</w:t>
      </w:r>
      <w:r w:rsidR="00C47204">
        <w:rPr>
          <w:bCs/>
          <w:sz w:val="26"/>
          <w:szCs w:val="26"/>
        </w:rPr>
        <w:t>.</w:t>
      </w:r>
    </w:p>
    <w:p w:rsidR="00C74E15" w:rsidRPr="00C74E15" w:rsidRDefault="00C74E15" w:rsidP="00C74E15">
      <w:pPr>
        <w:spacing w:after="0" w:line="240" w:lineRule="auto"/>
        <w:ind w:firstLine="720"/>
        <w:jc w:val="both"/>
        <w:rPr>
          <w:bCs/>
          <w:sz w:val="26"/>
          <w:szCs w:val="26"/>
        </w:rPr>
      </w:pPr>
      <w:r w:rsidRPr="00C74E15">
        <w:rPr>
          <w:bCs/>
          <w:sz w:val="26"/>
          <w:szCs w:val="26"/>
        </w:rPr>
        <w:t>ES programma tiek ieviesta centralizēti, un t</w:t>
      </w:r>
      <w:r w:rsidR="00CF09DD">
        <w:rPr>
          <w:bCs/>
          <w:sz w:val="26"/>
          <w:szCs w:val="26"/>
        </w:rPr>
        <w:t>ās</w:t>
      </w:r>
      <w:r w:rsidRPr="00C74E15">
        <w:rPr>
          <w:bCs/>
          <w:sz w:val="26"/>
          <w:szCs w:val="26"/>
        </w:rPr>
        <w:t xml:space="preserve"> tiešo vadību nodrošina Eiropas Komisija (turpmāk - EK), kurai palīdz programmu Komitejas, kas sastāv no dalībvalstu pārstāvjiem. Pamatojoties uz Komitejas apstiprināto gada programmu, EK izsludina atklātos projektu konkursus (</w:t>
      </w:r>
      <w:proofErr w:type="spellStart"/>
      <w:r w:rsidRPr="00C74E15">
        <w:rPr>
          <w:bCs/>
          <w:i/>
          <w:sz w:val="26"/>
          <w:szCs w:val="26"/>
        </w:rPr>
        <w:t>action</w:t>
      </w:r>
      <w:proofErr w:type="spellEnd"/>
      <w:r w:rsidRPr="00C74E15">
        <w:rPr>
          <w:bCs/>
          <w:i/>
          <w:sz w:val="26"/>
          <w:szCs w:val="26"/>
        </w:rPr>
        <w:t xml:space="preserve"> grants</w:t>
      </w:r>
      <w:r w:rsidRPr="00C74E15">
        <w:rPr>
          <w:bCs/>
          <w:sz w:val="26"/>
          <w:szCs w:val="26"/>
        </w:rPr>
        <w:t>), EK iepirkumu konkursus (</w:t>
      </w:r>
      <w:proofErr w:type="spellStart"/>
      <w:r w:rsidRPr="00C74E15">
        <w:rPr>
          <w:bCs/>
          <w:i/>
          <w:sz w:val="26"/>
          <w:szCs w:val="26"/>
        </w:rPr>
        <w:t>procurement</w:t>
      </w:r>
      <w:proofErr w:type="spellEnd"/>
      <w:r w:rsidRPr="00C74E15">
        <w:rPr>
          <w:bCs/>
          <w:sz w:val="26"/>
          <w:szCs w:val="26"/>
        </w:rPr>
        <w:t>) un konkursus darbības nodrošināšanai (</w:t>
      </w:r>
      <w:proofErr w:type="spellStart"/>
      <w:r w:rsidRPr="00C74E15">
        <w:rPr>
          <w:bCs/>
          <w:i/>
          <w:sz w:val="26"/>
          <w:szCs w:val="26"/>
        </w:rPr>
        <w:t>operating</w:t>
      </w:r>
      <w:proofErr w:type="spellEnd"/>
      <w:r w:rsidRPr="00C74E15">
        <w:rPr>
          <w:bCs/>
          <w:i/>
          <w:sz w:val="26"/>
          <w:szCs w:val="26"/>
        </w:rPr>
        <w:t xml:space="preserve"> grants</w:t>
      </w:r>
      <w:r w:rsidRPr="00C74E15">
        <w:rPr>
          <w:bCs/>
          <w:sz w:val="26"/>
          <w:szCs w:val="26"/>
        </w:rPr>
        <w:t xml:space="preserve">). EK pieņem lēmumu par konkrētu projektu finansēšanu, kas tiek noteikti konkursu rezultātā. </w:t>
      </w:r>
    </w:p>
    <w:p w:rsidR="00100F58" w:rsidRDefault="00100F58" w:rsidP="00075029">
      <w:pPr>
        <w:spacing w:after="0" w:line="240" w:lineRule="auto"/>
        <w:ind w:firstLine="720"/>
        <w:jc w:val="both"/>
        <w:rPr>
          <w:bCs/>
          <w:sz w:val="26"/>
          <w:szCs w:val="26"/>
        </w:rPr>
      </w:pPr>
    </w:p>
    <w:p w:rsidR="00CD51E6" w:rsidRDefault="00CD51E6" w:rsidP="00075029">
      <w:pPr>
        <w:spacing w:after="0" w:line="240" w:lineRule="auto"/>
        <w:ind w:firstLine="720"/>
        <w:jc w:val="both"/>
        <w:rPr>
          <w:bCs/>
          <w:sz w:val="26"/>
          <w:szCs w:val="26"/>
        </w:rPr>
      </w:pPr>
    </w:p>
    <w:p w:rsidR="00075029" w:rsidRPr="00C47204" w:rsidRDefault="00E70921" w:rsidP="00075029">
      <w:pPr>
        <w:spacing w:after="0" w:line="240" w:lineRule="auto"/>
        <w:ind w:firstLine="720"/>
        <w:jc w:val="both"/>
        <w:rPr>
          <w:bCs/>
          <w:sz w:val="26"/>
          <w:szCs w:val="26"/>
        </w:rPr>
      </w:pPr>
      <w:r>
        <w:rPr>
          <w:bCs/>
          <w:sz w:val="26"/>
          <w:szCs w:val="26"/>
        </w:rPr>
        <w:t>E</w:t>
      </w:r>
      <w:r w:rsidR="00C47204">
        <w:rPr>
          <w:bCs/>
          <w:sz w:val="26"/>
          <w:szCs w:val="26"/>
        </w:rPr>
        <w:t>S p</w:t>
      </w:r>
      <w:r w:rsidR="00075029" w:rsidRPr="00C47204">
        <w:rPr>
          <w:bCs/>
          <w:sz w:val="26"/>
          <w:szCs w:val="26"/>
        </w:rPr>
        <w:t xml:space="preserve">rogrammas galvenās darbības jomas: </w:t>
      </w:r>
    </w:p>
    <w:p w:rsidR="00075029" w:rsidRPr="00C47204" w:rsidRDefault="00075029" w:rsidP="00075029">
      <w:pPr>
        <w:numPr>
          <w:ilvl w:val="0"/>
          <w:numId w:val="2"/>
        </w:numPr>
        <w:spacing w:after="0" w:line="240" w:lineRule="auto"/>
        <w:jc w:val="both"/>
        <w:rPr>
          <w:sz w:val="26"/>
          <w:szCs w:val="26"/>
        </w:rPr>
      </w:pPr>
      <w:r w:rsidRPr="00C47204">
        <w:rPr>
          <w:sz w:val="26"/>
          <w:szCs w:val="26"/>
        </w:rPr>
        <w:t xml:space="preserve">visu vardarbības formu pret bērniem, jauniešiem, sievietēm u.c. mazāk aizsargātām sabiedrības grupām novēršana un apkarošana (apakšprogramma „Dafne”), kā arī bērnu tiesību un personu ar invaliditāti tiesību aizsardzība; </w:t>
      </w:r>
    </w:p>
    <w:p w:rsidR="00075029" w:rsidRPr="00C47204" w:rsidRDefault="00075029" w:rsidP="00075029">
      <w:pPr>
        <w:numPr>
          <w:ilvl w:val="0"/>
          <w:numId w:val="2"/>
        </w:numPr>
        <w:spacing w:after="0" w:line="240" w:lineRule="auto"/>
        <w:jc w:val="both"/>
        <w:rPr>
          <w:sz w:val="26"/>
          <w:szCs w:val="26"/>
        </w:rPr>
      </w:pPr>
      <w:r w:rsidRPr="00C47204">
        <w:rPr>
          <w:sz w:val="26"/>
          <w:szCs w:val="26"/>
        </w:rPr>
        <w:t xml:space="preserve">ES pilsoņu tiesību popularizēšana, aicinājums tās pielietot, t.sk. patērētāju tiesību aizsardzības jomā; </w:t>
      </w:r>
    </w:p>
    <w:p w:rsidR="00075029" w:rsidRPr="00C47204" w:rsidRDefault="00075029" w:rsidP="00075029">
      <w:pPr>
        <w:numPr>
          <w:ilvl w:val="0"/>
          <w:numId w:val="2"/>
        </w:numPr>
        <w:spacing w:after="120" w:line="240" w:lineRule="auto"/>
        <w:ind w:left="714" w:hanging="357"/>
        <w:jc w:val="both"/>
        <w:rPr>
          <w:sz w:val="26"/>
          <w:szCs w:val="26"/>
        </w:rPr>
      </w:pPr>
      <w:r w:rsidRPr="00C47204">
        <w:rPr>
          <w:sz w:val="26"/>
          <w:szCs w:val="26"/>
        </w:rPr>
        <w:t>diskriminācijas, ar kuru saskaras personas sava dzimuma, vecuma, rases, reliģiskās pārliecības, invaliditātes vai dzimumorientācijas dēļ, novēršana.</w:t>
      </w:r>
    </w:p>
    <w:p w:rsidR="00075029" w:rsidRPr="00C47204" w:rsidRDefault="00C47204" w:rsidP="00075029">
      <w:pPr>
        <w:spacing w:after="0" w:line="240" w:lineRule="auto"/>
        <w:ind w:left="142" w:firstLine="720"/>
        <w:jc w:val="both"/>
        <w:rPr>
          <w:bCs/>
          <w:sz w:val="26"/>
          <w:szCs w:val="26"/>
        </w:rPr>
      </w:pPr>
      <w:r>
        <w:rPr>
          <w:bCs/>
          <w:sz w:val="26"/>
          <w:szCs w:val="26"/>
        </w:rPr>
        <w:t>ES p</w:t>
      </w:r>
      <w:r w:rsidR="00075029" w:rsidRPr="00C47204">
        <w:rPr>
          <w:bCs/>
          <w:sz w:val="26"/>
          <w:szCs w:val="26"/>
        </w:rPr>
        <w:t>rogrammas galvenās mērķa grupas ir bērni, jaunieši, sievietes, kas pakļautas vardarbībai, diskriminācijai vai tās riskam; personas, kas pakļautas diskriminācijai sava dzimuma, vecuma, rases, reliģiskās pārliecības, invaliditātes, dzimumorientācijas dēļ.</w:t>
      </w:r>
    </w:p>
    <w:p w:rsidR="00075029" w:rsidRPr="00C47204" w:rsidRDefault="00C47204" w:rsidP="00075029">
      <w:pPr>
        <w:spacing w:after="0" w:line="240" w:lineRule="auto"/>
        <w:ind w:firstLine="720"/>
        <w:jc w:val="both"/>
        <w:rPr>
          <w:bCs/>
          <w:sz w:val="26"/>
          <w:szCs w:val="26"/>
        </w:rPr>
      </w:pPr>
      <w:r w:rsidRPr="00C47204">
        <w:rPr>
          <w:bCs/>
          <w:sz w:val="26"/>
          <w:szCs w:val="26"/>
        </w:rPr>
        <w:t>ES p</w:t>
      </w:r>
      <w:r w:rsidR="00075029" w:rsidRPr="00C47204">
        <w:rPr>
          <w:bCs/>
          <w:sz w:val="26"/>
          <w:szCs w:val="26"/>
        </w:rPr>
        <w:t>rogrammas mērķi:</w:t>
      </w:r>
    </w:p>
    <w:p w:rsidR="00075029" w:rsidRPr="00C47204" w:rsidRDefault="00075029" w:rsidP="007A7684">
      <w:pPr>
        <w:numPr>
          <w:ilvl w:val="0"/>
          <w:numId w:val="2"/>
        </w:numPr>
        <w:spacing w:after="0" w:line="240" w:lineRule="auto"/>
        <w:jc w:val="both"/>
        <w:rPr>
          <w:sz w:val="26"/>
          <w:szCs w:val="26"/>
        </w:rPr>
      </w:pPr>
      <w:r w:rsidRPr="00C47204">
        <w:rPr>
          <w:sz w:val="26"/>
          <w:szCs w:val="26"/>
        </w:rPr>
        <w:t xml:space="preserve">palīdzēt efektīvi īstenot </w:t>
      </w:r>
      <w:r w:rsidR="007A7684" w:rsidRPr="007A7684">
        <w:rPr>
          <w:sz w:val="26"/>
          <w:szCs w:val="26"/>
        </w:rPr>
        <w:t xml:space="preserve">2000. gada </w:t>
      </w:r>
      <w:r w:rsidR="00185E03" w:rsidRPr="007A7684">
        <w:rPr>
          <w:sz w:val="26"/>
          <w:szCs w:val="26"/>
        </w:rPr>
        <w:t>7.</w:t>
      </w:r>
      <w:r w:rsidR="00185E03">
        <w:rPr>
          <w:sz w:val="26"/>
          <w:szCs w:val="26"/>
        </w:rPr>
        <w:t> </w:t>
      </w:r>
      <w:r w:rsidR="00185E03" w:rsidRPr="007A7684">
        <w:rPr>
          <w:sz w:val="26"/>
          <w:szCs w:val="26"/>
        </w:rPr>
        <w:t>decembra</w:t>
      </w:r>
      <w:r w:rsidR="007A7684" w:rsidRPr="007A7684">
        <w:rPr>
          <w:sz w:val="26"/>
          <w:szCs w:val="26"/>
        </w:rPr>
        <w:t xml:space="preserve"> Eiropas Savienības Pamattiesību hart</w:t>
      </w:r>
      <w:r w:rsidR="007A7684">
        <w:rPr>
          <w:sz w:val="26"/>
          <w:szCs w:val="26"/>
        </w:rPr>
        <w:t>as (</w:t>
      </w:r>
      <w:r w:rsidR="007A7684" w:rsidRPr="007A7684">
        <w:rPr>
          <w:sz w:val="26"/>
          <w:szCs w:val="26"/>
        </w:rPr>
        <w:t xml:space="preserve">kura pielāgota Strasbūrā, </w:t>
      </w:r>
      <w:r w:rsidR="00185E03" w:rsidRPr="007A7684">
        <w:rPr>
          <w:sz w:val="26"/>
          <w:szCs w:val="26"/>
        </w:rPr>
        <w:t>2007. gada</w:t>
      </w:r>
      <w:r w:rsidR="007A7684" w:rsidRPr="007A7684">
        <w:rPr>
          <w:sz w:val="26"/>
          <w:szCs w:val="26"/>
        </w:rPr>
        <w:t xml:space="preserve"> </w:t>
      </w:r>
      <w:r w:rsidR="00185E03" w:rsidRPr="007A7684">
        <w:rPr>
          <w:sz w:val="26"/>
          <w:szCs w:val="26"/>
        </w:rPr>
        <w:t>12.</w:t>
      </w:r>
      <w:r w:rsidR="00185E03">
        <w:rPr>
          <w:sz w:val="26"/>
          <w:szCs w:val="26"/>
        </w:rPr>
        <w:t xml:space="preserve"> decembrī</w:t>
      </w:r>
      <w:r w:rsidR="007A7684">
        <w:rPr>
          <w:sz w:val="26"/>
          <w:szCs w:val="26"/>
        </w:rPr>
        <w:t>)</w:t>
      </w:r>
      <w:r w:rsidR="00205C99" w:rsidRPr="00C47204">
        <w:rPr>
          <w:sz w:val="26"/>
          <w:szCs w:val="26"/>
        </w:rPr>
        <w:t xml:space="preserve"> </w:t>
      </w:r>
      <w:r w:rsidR="00185E03" w:rsidRPr="00C47204">
        <w:rPr>
          <w:sz w:val="26"/>
          <w:szCs w:val="26"/>
        </w:rPr>
        <w:t>21. pantā</w:t>
      </w:r>
      <w:r w:rsidR="00205C99" w:rsidRPr="00C47204">
        <w:rPr>
          <w:sz w:val="26"/>
          <w:szCs w:val="26"/>
        </w:rPr>
        <w:t xml:space="preserve"> </w:t>
      </w:r>
      <w:r w:rsidR="00205C99">
        <w:rPr>
          <w:sz w:val="26"/>
          <w:szCs w:val="26"/>
        </w:rPr>
        <w:t xml:space="preserve">minēto </w:t>
      </w:r>
      <w:r w:rsidRPr="00C47204">
        <w:rPr>
          <w:sz w:val="26"/>
          <w:szCs w:val="26"/>
        </w:rPr>
        <w:t>principu par nediskriminēšanu dzimuma, rases</w:t>
      </w:r>
      <w:r w:rsidR="00CF09DD">
        <w:rPr>
          <w:sz w:val="26"/>
          <w:szCs w:val="26"/>
        </w:rPr>
        <w:t>,</w:t>
      </w:r>
      <w:r w:rsidRPr="00C47204">
        <w:rPr>
          <w:sz w:val="26"/>
          <w:szCs w:val="26"/>
        </w:rPr>
        <w:t xml:space="preserve"> </w:t>
      </w:r>
      <w:r w:rsidR="00CF09DD" w:rsidRPr="00CF09DD">
        <w:rPr>
          <w:sz w:val="26"/>
          <w:szCs w:val="26"/>
        </w:rPr>
        <w:t xml:space="preserve">ādas krāsas, </w:t>
      </w:r>
      <w:r w:rsidRPr="00C47204">
        <w:rPr>
          <w:sz w:val="26"/>
          <w:szCs w:val="26"/>
        </w:rPr>
        <w:t xml:space="preserve">etniskās </w:t>
      </w:r>
      <w:r w:rsidR="00CF09DD" w:rsidRPr="00CF09DD">
        <w:rPr>
          <w:sz w:val="26"/>
          <w:szCs w:val="26"/>
        </w:rPr>
        <w:t>vai sociālās</w:t>
      </w:r>
      <w:r w:rsidR="00CF09DD" w:rsidRPr="00C47204">
        <w:rPr>
          <w:sz w:val="26"/>
          <w:szCs w:val="26"/>
        </w:rPr>
        <w:t xml:space="preserve"> </w:t>
      </w:r>
      <w:r w:rsidRPr="00C47204">
        <w:rPr>
          <w:sz w:val="26"/>
          <w:szCs w:val="26"/>
        </w:rPr>
        <w:t xml:space="preserve">izcelsmes, </w:t>
      </w:r>
      <w:r w:rsidR="00205C99" w:rsidRPr="00CF09DD">
        <w:rPr>
          <w:sz w:val="26"/>
          <w:szCs w:val="26"/>
        </w:rPr>
        <w:t>ģenētisko īpatnību, valodas</w:t>
      </w:r>
      <w:r w:rsidR="00205C99">
        <w:rPr>
          <w:sz w:val="26"/>
          <w:szCs w:val="26"/>
        </w:rPr>
        <w:t>,</w:t>
      </w:r>
      <w:r w:rsidR="00205C99" w:rsidRPr="00C47204">
        <w:rPr>
          <w:sz w:val="26"/>
          <w:szCs w:val="26"/>
        </w:rPr>
        <w:t xml:space="preserve"> </w:t>
      </w:r>
      <w:r w:rsidRPr="00C47204">
        <w:rPr>
          <w:sz w:val="26"/>
          <w:szCs w:val="26"/>
        </w:rPr>
        <w:t xml:space="preserve">reliģijas vai pārliecības, </w:t>
      </w:r>
      <w:r w:rsidR="00CF09DD" w:rsidRPr="00CF09DD">
        <w:rPr>
          <w:sz w:val="26"/>
          <w:szCs w:val="26"/>
        </w:rPr>
        <w:t xml:space="preserve">politisko vai jebkuru citu uzskatu dēļ, īpašuma, </w:t>
      </w:r>
      <w:r w:rsidRPr="00C47204">
        <w:rPr>
          <w:sz w:val="26"/>
          <w:szCs w:val="26"/>
        </w:rPr>
        <w:t>invaliditātes, vecuma vai dzimumorientācijas dēļ</w:t>
      </w:r>
      <w:r w:rsidR="00205C99">
        <w:rPr>
          <w:sz w:val="26"/>
          <w:szCs w:val="26"/>
        </w:rPr>
        <w:t>, kā arī</w:t>
      </w:r>
      <w:r w:rsidRPr="00C47204">
        <w:rPr>
          <w:sz w:val="26"/>
          <w:szCs w:val="26"/>
        </w:rPr>
        <w:t xml:space="preserve"> </w:t>
      </w:r>
      <w:r w:rsidR="00205C99" w:rsidRPr="00CF09DD">
        <w:rPr>
          <w:sz w:val="26"/>
          <w:szCs w:val="26"/>
        </w:rPr>
        <w:t>saistībā ar piederību pie nacionālās minoritātes</w:t>
      </w:r>
      <w:r w:rsidRPr="00C47204">
        <w:rPr>
          <w:sz w:val="26"/>
          <w:szCs w:val="26"/>
        </w:rPr>
        <w:t xml:space="preserve">; </w:t>
      </w:r>
    </w:p>
    <w:p w:rsidR="00075029" w:rsidRPr="00C47204" w:rsidRDefault="00075029" w:rsidP="00075029">
      <w:pPr>
        <w:numPr>
          <w:ilvl w:val="0"/>
          <w:numId w:val="2"/>
        </w:numPr>
        <w:spacing w:after="0" w:line="240" w:lineRule="auto"/>
        <w:ind w:left="714" w:hanging="357"/>
        <w:jc w:val="both"/>
        <w:rPr>
          <w:sz w:val="26"/>
          <w:szCs w:val="26"/>
        </w:rPr>
      </w:pPr>
      <w:r w:rsidRPr="00C47204">
        <w:rPr>
          <w:sz w:val="26"/>
          <w:szCs w:val="26"/>
        </w:rPr>
        <w:t xml:space="preserve"> novērst un apkarot rasismu, ksenofobiju, homofobiju un citus neiecietības veidus; </w:t>
      </w:r>
    </w:p>
    <w:p w:rsidR="00075029" w:rsidRPr="00C47204" w:rsidRDefault="00075029" w:rsidP="00075029">
      <w:pPr>
        <w:numPr>
          <w:ilvl w:val="0"/>
          <w:numId w:val="2"/>
        </w:numPr>
        <w:spacing w:after="0" w:line="240" w:lineRule="auto"/>
        <w:ind w:left="714" w:hanging="357"/>
        <w:jc w:val="both"/>
        <w:rPr>
          <w:sz w:val="26"/>
          <w:szCs w:val="26"/>
        </w:rPr>
      </w:pPr>
      <w:r w:rsidRPr="00C47204">
        <w:rPr>
          <w:sz w:val="26"/>
          <w:szCs w:val="26"/>
        </w:rPr>
        <w:t xml:space="preserve"> veicināt un aizsargāt personu ar invaliditāti tiesības; </w:t>
      </w:r>
    </w:p>
    <w:p w:rsidR="00075029" w:rsidRPr="00C47204" w:rsidRDefault="00075029" w:rsidP="00075029">
      <w:pPr>
        <w:numPr>
          <w:ilvl w:val="0"/>
          <w:numId w:val="2"/>
        </w:numPr>
        <w:spacing w:after="120" w:line="240" w:lineRule="auto"/>
        <w:ind w:left="714" w:hanging="357"/>
        <w:jc w:val="both"/>
        <w:rPr>
          <w:sz w:val="26"/>
          <w:szCs w:val="26"/>
        </w:rPr>
      </w:pPr>
      <w:r w:rsidRPr="00C47204">
        <w:rPr>
          <w:sz w:val="26"/>
          <w:szCs w:val="26"/>
        </w:rPr>
        <w:t xml:space="preserve"> veicināt dzimumu līdztiesību un dzimumu līdztiesības integrēto pieeju.</w:t>
      </w:r>
    </w:p>
    <w:p w:rsidR="00075029" w:rsidRPr="00C47204" w:rsidRDefault="00075029" w:rsidP="00075029">
      <w:pPr>
        <w:spacing w:after="0" w:line="240" w:lineRule="auto"/>
        <w:ind w:firstLine="561"/>
        <w:jc w:val="both"/>
        <w:rPr>
          <w:sz w:val="26"/>
          <w:szCs w:val="26"/>
        </w:rPr>
      </w:pPr>
      <w:r w:rsidRPr="00C47204">
        <w:rPr>
          <w:sz w:val="26"/>
          <w:szCs w:val="26"/>
        </w:rPr>
        <w:t>Saskaņā ar</w:t>
      </w:r>
      <w:r w:rsidR="00C74E15">
        <w:rPr>
          <w:sz w:val="26"/>
          <w:szCs w:val="26"/>
        </w:rPr>
        <w:t xml:space="preserve"> ES</w:t>
      </w:r>
      <w:r w:rsidRPr="00C47204">
        <w:rPr>
          <w:sz w:val="26"/>
          <w:szCs w:val="26"/>
        </w:rPr>
        <w:t xml:space="preserve"> programmas finansēšanas nosacījumiem EK piešķirtais finansējums nepārsniedz 80% no kopējām projekta attiecināmajām izmaksām, bet 20% no attiecināmajām izmaksām līdzfinansē projektu pieteikumu iesniedzēji un /vai to partneri, asociētie partneri</w:t>
      </w:r>
      <w:r w:rsidR="00185E03">
        <w:rPr>
          <w:sz w:val="26"/>
          <w:szCs w:val="26"/>
        </w:rPr>
        <w:t>,</w:t>
      </w:r>
      <w:r w:rsidRPr="00C47204">
        <w:rPr>
          <w:sz w:val="26"/>
          <w:szCs w:val="26"/>
        </w:rPr>
        <w:t xml:space="preserve"> vai ja tas nav iespējams, līdzfinansējums tiek piesaistīts no citiem līdzekļiem, kas nav ES budžeta līdzekļi.</w:t>
      </w:r>
    </w:p>
    <w:p w:rsidR="00075029" w:rsidRPr="00C47204" w:rsidRDefault="00075029" w:rsidP="00075029">
      <w:pPr>
        <w:spacing w:after="0" w:line="240" w:lineRule="auto"/>
        <w:ind w:firstLine="561"/>
        <w:jc w:val="both"/>
        <w:rPr>
          <w:sz w:val="26"/>
          <w:szCs w:val="26"/>
        </w:rPr>
      </w:pPr>
      <w:r w:rsidRPr="00C47204">
        <w:rPr>
          <w:sz w:val="26"/>
          <w:szCs w:val="26"/>
        </w:rPr>
        <w:t xml:space="preserve">Rokasgrāmata granta projektu iesniedzējiem (turpmāk – rokasgrāmata) nosaka, ka EK pārskaitāmais avansa maksājums ir 80% apmērā no EK piešķirtā finansējuma un gala maksājums 20% apmērā, ko EK pārskaita tikai pēc projektu īstenošanas un attiecināmo izmaksu apstiprināšanas. Atsevišķos gadījumos EK patur tiesības samazināt avansa maksājuma apmēru, kā arī ieviest starpposma maksājumus (maksājums starp avansa maksājumu un gala maksājumu). </w:t>
      </w:r>
    </w:p>
    <w:p w:rsidR="00075029" w:rsidRPr="00C47204" w:rsidRDefault="00075029" w:rsidP="00075029">
      <w:pPr>
        <w:spacing w:after="0" w:line="240" w:lineRule="auto"/>
        <w:ind w:firstLine="561"/>
        <w:jc w:val="both"/>
        <w:rPr>
          <w:sz w:val="26"/>
          <w:szCs w:val="26"/>
        </w:rPr>
      </w:pPr>
      <w:r w:rsidRPr="00C47204">
        <w:rPr>
          <w:sz w:val="26"/>
          <w:szCs w:val="26"/>
        </w:rPr>
        <w:t xml:space="preserve">Rokasgrāmatas V nodaļas 1.4. apakšpunkts nosaka </w:t>
      </w:r>
      <w:r w:rsidR="00205C99">
        <w:rPr>
          <w:sz w:val="26"/>
          <w:szCs w:val="26"/>
        </w:rPr>
        <w:t>pievienotās vērtības nodokļa (</w:t>
      </w:r>
      <w:r w:rsidRPr="00C47204">
        <w:rPr>
          <w:sz w:val="26"/>
          <w:szCs w:val="26"/>
        </w:rPr>
        <w:t>PVN</w:t>
      </w:r>
      <w:r w:rsidR="00205C99">
        <w:rPr>
          <w:sz w:val="26"/>
          <w:szCs w:val="26"/>
        </w:rPr>
        <w:t>)</w:t>
      </w:r>
      <w:r w:rsidRPr="00C47204">
        <w:rPr>
          <w:sz w:val="26"/>
          <w:szCs w:val="26"/>
        </w:rPr>
        <w:t xml:space="preserve"> attiecināmību projekta ietvaros iepirktām precēm un pakalpojumiem, ko nosaka finansējuma saņēmēja un finansēto aktivitāšu veids. PVN izmaksas </w:t>
      </w:r>
      <w:r w:rsidRPr="00940004">
        <w:rPr>
          <w:sz w:val="26"/>
          <w:szCs w:val="26"/>
          <w:u w:val="single"/>
        </w:rPr>
        <w:t>netiek</w:t>
      </w:r>
      <w:r w:rsidRPr="00940004">
        <w:rPr>
          <w:sz w:val="26"/>
          <w:szCs w:val="26"/>
        </w:rPr>
        <w:t xml:space="preserve"> </w:t>
      </w:r>
      <w:r w:rsidRPr="00C47204">
        <w:rPr>
          <w:sz w:val="26"/>
          <w:szCs w:val="26"/>
        </w:rPr>
        <w:t>uzskatītas par attiecināmām gadījumā, ja:</w:t>
      </w:r>
    </w:p>
    <w:p w:rsidR="00075029" w:rsidRPr="00C47204" w:rsidRDefault="00075029" w:rsidP="00075029">
      <w:pPr>
        <w:numPr>
          <w:ilvl w:val="0"/>
          <w:numId w:val="2"/>
        </w:numPr>
        <w:spacing w:after="0" w:line="240" w:lineRule="auto"/>
        <w:ind w:left="714" w:hanging="357"/>
        <w:jc w:val="both"/>
        <w:rPr>
          <w:sz w:val="26"/>
          <w:szCs w:val="26"/>
        </w:rPr>
      </w:pPr>
      <w:r w:rsidRPr="00C47204">
        <w:rPr>
          <w:sz w:val="26"/>
          <w:szCs w:val="26"/>
        </w:rPr>
        <w:lastRenderedPageBreak/>
        <w:t>preces un pakalpojumi aktivitātes ietvaros ir apliekamas ar PVN</w:t>
      </w:r>
      <w:proofErr w:type="gramStart"/>
      <w:r w:rsidRPr="00C47204">
        <w:rPr>
          <w:sz w:val="26"/>
          <w:szCs w:val="26"/>
        </w:rPr>
        <w:t xml:space="preserve"> un</w:t>
      </w:r>
      <w:proofErr w:type="gramEnd"/>
      <w:r w:rsidRPr="00C47204">
        <w:rPr>
          <w:sz w:val="26"/>
          <w:szCs w:val="26"/>
        </w:rPr>
        <w:t xml:space="preserve"> PVN ir atgūstams no valsts vai aktivitātes neparedz iepirkt ar PVN apliekamas preces vai pakalpojumus;</w:t>
      </w:r>
    </w:p>
    <w:p w:rsidR="00075029" w:rsidRDefault="00075029" w:rsidP="00075029">
      <w:pPr>
        <w:numPr>
          <w:ilvl w:val="0"/>
          <w:numId w:val="2"/>
        </w:numPr>
        <w:spacing w:after="0" w:line="240" w:lineRule="auto"/>
        <w:ind w:left="714" w:hanging="357"/>
        <w:jc w:val="both"/>
        <w:rPr>
          <w:sz w:val="26"/>
          <w:szCs w:val="26"/>
        </w:rPr>
      </w:pPr>
      <w:r w:rsidRPr="00C47204">
        <w:rPr>
          <w:sz w:val="26"/>
          <w:szCs w:val="26"/>
        </w:rPr>
        <w:t>finansējums nepieciešams aktivitātēm, kuru apmaksu veic valsts pārvaldes iestādes vai citas institūcijas, kas nav reģistrētas kā PVN maksātājas.</w:t>
      </w:r>
    </w:p>
    <w:p w:rsidR="00CD51E6" w:rsidRDefault="00CD51E6" w:rsidP="00075029">
      <w:pPr>
        <w:spacing w:after="120" w:line="240" w:lineRule="auto"/>
        <w:ind w:firstLine="561"/>
        <w:jc w:val="both"/>
        <w:rPr>
          <w:b/>
          <w:sz w:val="26"/>
          <w:szCs w:val="26"/>
        </w:rPr>
      </w:pPr>
    </w:p>
    <w:p w:rsidR="003B6441" w:rsidRDefault="003B6441" w:rsidP="00075029">
      <w:pPr>
        <w:spacing w:after="120" w:line="240" w:lineRule="auto"/>
        <w:ind w:firstLine="561"/>
        <w:jc w:val="both"/>
        <w:rPr>
          <w:sz w:val="26"/>
          <w:szCs w:val="26"/>
        </w:rPr>
      </w:pPr>
      <w:r>
        <w:rPr>
          <w:b/>
          <w:sz w:val="26"/>
          <w:szCs w:val="26"/>
        </w:rPr>
        <w:t>3</w:t>
      </w:r>
      <w:r w:rsidRPr="00734398">
        <w:rPr>
          <w:b/>
          <w:sz w:val="26"/>
          <w:szCs w:val="26"/>
        </w:rPr>
        <w:t>. ES programm</w:t>
      </w:r>
      <w:r>
        <w:rPr>
          <w:b/>
          <w:sz w:val="26"/>
          <w:szCs w:val="26"/>
        </w:rPr>
        <w:t>as</w:t>
      </w:r>
      <w:r w:rsidRPr="00734398">
        <w:rPr>
          <w:b/>
          <w:sz w:val="26"/>
          <w:szCs w:val="26"/>
        </w:rPr>
        <w:t xml:space="preserve"> finansēšanai iesniegt</w:t>
      </w:r>
      <w:r>
        <w:rPr>
          <w:b/>
          <w:sz w:val="26"/>
          <w:szCs w:val="26"/>
        </w:rPr>
        <w:t>ais</w:t>
      </w:r>
      <w:r w:rsidRPr="00734398">
        <w:rPr>
          <w:b/>
          <w:sz w:val="26"/>
          <w:szCs w:val="26"/>
        </w:rPr>
        <w:t xml:space="preserve"> projekt</w:t>
      </w:r>
      <w:r>
        <w:rPr>
          <w:b/>
          <w:sz w:val="26"/>
          <w:szCs w:val="26"/>
        </w:rPr>
        <w:t>a</w:t>
      </w:r>
      <w:r w:rsidRPr="00734398">
        <w:rPr>
          <w:b/>
          <w:sz w:val="26"/>
          <w:szCs w:val="26"/>
        </w:rPr>
        <w:t xml:space="preserve"> pieteikum</w:t>
      </w:r>
      <w:r>
        <w:rPr>
          <w:b/>
          <w:sz w:val="26"/>
          <w:szCs w:val="26"/>
        </w:rPr>
        <w:t>s</w:t>
      </w:r>
      <w:r w:rsidRPr="00C47204">
        <w:rPr>
          <w:sz w:val="26"/>
          <w:szCs w:val="26"/>
        </w:rPr>
        <w:t xml:space="preserve"> </w:t>
      </w:r>
    </w:p>
    <w:p w:rsidR="00075029" w:rsidRPr="00C47204" w:rsidRDefault="00075029" w:rsidP="00075029">
      <w:pPr>
        <w:spacing w:after="120" w:line="240" w:lineRule="auto"/>
        <w:ind w:firstLine="561"/>
        <w:jc w:val="both"/>
        <w:rPr>
          <w:sz w:val="26"/>
          <w:szCs w:val="26"/>
        </w:rPr>
      </w:pPr>
      <w:r w:rsidRPr="00C47204">
        <w:rPr>
          <w:sz w:val="26"/>
          <w:szCs w:val="26"/>
        </w:rPr>
        <w:t xml:space="preserve">Projekta pieteikums </w:t>
      </w:r>
      <w:r w:rsidRPr="00C47204">
        <w:rPr>
          <w:b/>
          <w:sz w:val="26"/>
          <w:szCs w:val="26"/>
        </w:rPr>
        <w:t xml:space="preserve">”Soli tuvāk: </w:t>
      </w:r>
      <w:r w:rsidRPr="00C47204">
        <w:rPr>
          <w:b/>
          <w:iCs/>
          <w:sz w:val="26"/>
          <w:szCs w:val="26"/>
        </w:rPr>
        <w:t>Kopienas vienotā atbilde uz vardarbības pret sievietēm gadījumiem</w:t>
      </w:r>
      <w:r w:rsidRPr="00C47204">
        <w:rPr>
          <w:b/>
          <w:sz w:val="26"/>
          <w:szCs w:val="26"/>
        </w:rPr>
        <w:t>”</w:t>
      </w:r>
      <w:r w:rsidRPr="00C47204">
        <w:rPr>
          <w:sz w:val="26"/>
          <w:szCs w:val="26"/>
        </w:rPr>
        <w:t xml:space="preserve"> iesniegts 2016.</w:t>
      </w:r>
      <w:r w:rsidR="00185E03">
        <w:rPr>
          <w:sz w:val="26"/>
          <w:szCs w:val="26"/>
        </w:rPr>
        <w:t> </w:t>
      </w:r>
      <w:r w:rsidRPr="00C47204">
        <w:rPr>
          <w:sz w:val="26"/>
          <w:szCs w:val="26"/>
        </w:rPr>
        <w:t>gada 1.</w:t>
      </w:r>
      <w:r w:rsidR="00185E03">
        <w:rPr>
          <w:sz w:val="26"/>
          <w:szCs w:val="26"/>
        </w:rPr>
        <w:t> </w:t>
      </w:r>
      <w:r w:rsidRPr="00C47204">
        <w:rPr>
          <w:sz w:val="26"/>
          <w:szCs w:val="26"/>
        </w:rPr>
        <w:t xml:space="preserve">jūnijā ES programmas ietvaros rīkotajā </w:t>
      </w:r>
      <w:r w:rsidR="00940004" w:rsidRPr="00940004">
        <w:rPr>
          <w:sz w:val="26"/>
          <w:szCs w:val="26"/>
        </w:rPr>
        <w:t>projektu konkurs</w:t>
      </w:r>
      <w:r w:rsidR="00205C99">
        <w:rPr>
          <w:sz w:val="26"/>
          <w:szCs w:val="26"/>
        </w:rPr>
        <w:t>ā</w:t>
      </w:r>
      <w:r w:rsidR="00940004" w:rsidRPr="00940004">
        <w:rPr>
          <w:sz w:val="26"/>
          <w:szCs w:val="26"/>
        </w:rPr>
        <w:t xml:space="preserve"> JUST/2015/RDAP/AG/MULT „Atklāts konkurss nacionālu un starptautisku projektu atbalstam par </w:t>
      </w:r>
      <w:proofErr w:type="spellStart"/>
      <w:r w:rsidR="00940004" w:rsidRPr="00940004">
        <w:rPr>
          <w:sz w:val="26"/>
          <w:szCs w:val="26"/>
        </w:rPr>
        <w:t>multi-aģentūru</w:t>
      </w:r>
      <w:proofErr w:type="spellEnd"/>
      <w:r w:rsidR="00940004" w:rsidRPr="00940004">
        <w:rPr>
          <w:sz w:val="26"/>
          <w:szCs w:val="26"/>
        </w:rPr>
        <w:t xml:space="preserve"> un </w:t>
      </w:r>
      <w:proofErr w:type="spellStart"/>
      <w:r w:rsidR="00940004" w:rsidRPr="00940004">
        <w:rPr>
          <w:sz w:val="26"/>
          <w:szCs w:val="26"/>
        </w:rPr>
        <w:t>multi-disciplināru</w:t>
      </w:r>
      <w:proofErr w:type="spellEnd"/>
      <w:r w:rsidR="00940004" w:rsidRPr="00940004">
        <w:rPr>
          <w:sz w:val="26"/>
          <w:szCs w:val="26"/>
        </w:rPr>
        <w:t xml:space="preserve"> pieeju cīņai ar vardarbību pret sievietēm un bē</w:t>
      </w:r>
      <w:r w:rsidR="00940004">
        <w:rPr>
          <w:sz w:val="26"/>
          <w:szCs w:val="26"/>
        </w:rPr>
        <w:t>rniem un nepietiekamu ziņošanu”</w:t>
      </w:r>
      <w:r w:rsidRPr="00C47204">
        <w:rPr>
          <w:sz w:val="26"/>
          <w:szCs w:val="26"/>
        </w:rPr>
        <w:t xml:space="preserve">. Projekta partneri no Latvijas - biedrība „Resursu centrs sievietēm „Marta””, Valsts policija, </w:t>
      </w:r>
      <w:r w:rsidR="00490B73" w:rsidRPr="00940004">
        <w:rPr>
          <w:sz w:val="26"/>
          <w:szCs w:val="26"/>
        </w:rPr>
        <w:t>asociētie partneri</w:t>
      </w:r>
      <w:r w:rsidR="00490B73">
        <w:rPr>
          <w:sz w:val="26"/>
          <w:szCs w:val="26"/>
        </w:rPr>
        <w:t xml:space="preserve"> -</w:t>
      </w:r>
      <w:r w:rsidRPr="00C47204">
        <w:rPr>
          <w:sz w:val="26"/>
          <w:szCs w:val="26"/>
        </w:rPr>
        <w:t>Tieslietu ministrija</w:t>
      </w:r>
      <w:r w:rsidR="00490B73">
        <w:rPr>
          <w:sz w:val="26"/>
          <w:szCs w:val="26"/>
        </w:rPr>
        <w:t xml:space="preserve"> un</w:t>
      </w:r>
      <w:r w:rsidRPr="00C47204">
        <w:rPr>
          <w:sz w:val="26"/>
          <w:szCs w:val="26"/>
        </w:rPr>
        <w:t xml:space="preserve"> Latvijas Lauku ģimenes ārstu asociācija. Projekta īstenošanas </w:t>
      </w:r>
      <w:r w:rsidRPr="00C47204">
        <w:rPr>
          <w:bCs/>
          <w:sz w:val="26"/>
          <w:szCs w:val="26"/>
        </w:rPr>
        <w:t>laiks ir 2016.gada decembris - 2018.gada novembris.</w:t>
      </w:r>
    </w:p>
    <w:p w:rsidR="00075029" w:rsidRPr="00686F63" w:rsidRDefault="00075029" w:rsidP="00075029">
      <w:pPr>
        <w:spacing w:after="0" w:line="240" w:lineRule="auto"/>
        <w:ind w:firstLine="720"/>
        <w:jc w:val="both"/>
        <w:rPr>
          <w:bCs/>
          <w:sz w:val="26"/>
          <w:szCs w:val="26"/>
          <w:u w:val="single"/>
        </w:rPr>
      </w:pPr>
      <w:r w:rsidRPr="00686F63">
        <w:rPr>
          <w:bCs/>
          <w:sz w:val="26"/>
          <w:szCs w:val="26"/>
          <w:u w:val="single"/>
        </w:rPr>
        <w:t>Problēmas aktualitāte</w:t>
      </w:r>
    </w:p>
    <w:p w:rsidR="00062132" w:rsidRPr="00686F63" w:rsidRDefault="00062132" w:rsidP="00062132">
      <w:pPr>
        <w:spacing w:after="0" w:line="240" w:lineRule="auto"/>
        <w:ind w:firstLine="720"/>
        <w:jc w:val="both"/>
        <w:rPr>
          <w:bCs/>
          <w:sz w:val="26"/>
          <w:szCs w:val="26"/>
        </w:rPr>
      </w:pPr>
      <w:r w:rsidRPr="00686F63">
        <w:rPr>
          <w:bCs/>
          <w:sz w:val="26"/>
          <w:szCs w:val="26"/>
        </w:rPr>
        <w:t>2016.</w:t>
      </w:r>
      <w:r w:rsidR="00185E03">
        <w:rPr>
          <w:bCs/>
          <w:sz w:val="26"/>
          <w:szCs w:val="26"/>
        </w:rPr>
        <w:t> </w:t>
      </w:r>
      <w:r w:rsidRPr="00686F63">
        <w:rPr>
          <w:bCs/>
          <w:sz w:val="26"/>
          <w:szCs w:val="26"/>
        </w:rPr>
        <w:t>gada 18.</w:t>
      </w:r>
      <w:r w:rsidR="00185E03">
        <w:rPr>
          <w:bCs/>
          <w:sz w:val="26"/>
          <w:szCs w:val="26"/>
        </w:rPr>
        <w:t> </w:t>
      </w:r>
      <w:r w:rsidRPr="00686F63">
        <w:rPr>
          <w:bCs/>
          <w:sz w:val="26"/>
          <w:szCs w:val="26"/>
        </w:rPr>
        <w:t>maijā Latvija parakstīja Eiropas Padomes Konvenciju par vardarbības pret sievietēm un vardarbības ģimenē novēršanu un apkarošanu (Stambulas konvenciju). Konvencijas 7.</w:t>
      </w:r>
      <w:r w:rsidR="00185E03">
        <w:rPr>
          <w:bCs/>
          <w:sz w:val="26"/>
          <w:szCs w:val="26"/>
        </w:rPr>
        <w:t> </w:t>
      </w:r>
      <w:r w:rsidRPr="00686F63">
        <w:rPr>
          <w:bCs/>
          <w:sz w:val="26"/>
          <w:szCs w:val="26"/>
        </w:rPr>
        <w:t>pants paredz, ka Konvencijas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r w:rsidRPr="00686F63">
        <w:rPr>
          <w:rFonts w:eastAsia="Times New Roman"/>
          <w:snapToGrid w:val="0"/>
          <w:sz w:val="26"/>
          <w:szCs w:val="26"/>
        </w:rPr>
        <w:t xml:space="preserve"> Savukārt Konvencijas 51.pants paredz, ka </w:t>
      </w:r>
      <w:r w:rsidRPr="00686F63">
        <w:rPr>
          <w:bCs/>
          <w:sz w:val="26"/>
          <w:szCs w:val="26"/>
        </w:rPr>
        <w:t>Konvencijas dalībvalstis pieņem normatīvos aktus vai veic citus pasākumus, kas vajadzīgi, lai nodrošinātu to, ka visas attiecīgās iestādes novērtē mirstības risku, situācijas nopietnību un atkārtotas vardarbības risku, lai vadītu šo risku un vajadzības gadījumā nodrošinātu saskaņotu drošību un atbalstu.</w:t>
      </w:r>
    </w:p>
    <w:p w:rsidR="00062132" w:rsidRDefault="00075029" w:rsidP="00075029">
      <w:pPr>
        <w:spacing w:after="0" w:line="240" w:lineRule="auto"/>
        <w:ind w:firstLine="720"/>
        <w:jc w:val="both"/>
        <w:rPr>
          <w:bCs/>
          <w:sz w:val="26"/>
          <w:szCs w:val="26"/>
        </w:rPr>
      </w:pPr>
      <w:r w:rsidRPr="003B6441">
        <w:rPr>
          <w:bCs/>
          <w:sz w:val="26"/>
          <w:szCs w:val="26"/>
        </w:rPr>
        <w:t>2012.</w:t>
      </w:r>
      <w:r w:rsidR="00185E03">
        <w:rPr>
          <w:bCs/>
          <w:sz w:val="26"/>
          <w:szCs w:val="26"/>
        </w:rPr>
        <w:t> </w:t>
      </w:r>
      <w:r w:rsidRPr="003B6441">
        <w:rPr>
          <w:bCs/>
          <w:sz w:val="26"/>
          <w:szCs w:val="26"/>
        </w:rPr>
        <w:t>gada 25.</w:t>
      </w:r>
      <w:r w:rsidR="00185E03">
        <w:rPr>
          <w:bCs/>
          <w:sz w:val="26"/>
          <w:szCs w:val="26"/>
        </w:rPr>
        <w:t> </w:t>
      </w:r>
      <w:r w:rsidRPr="003B6441">
        <w:rPr>
          <w:bCs/>
          <w:sz w:val="26"/>
          <w:szCs w:val="26"/>
        </w:rPr>
        <w:t>oktobrī stājās spēkā Eiropas Parlamenta un Padomes direktīva 2012/29/ES, ar ko nosaka noziegumos cietušo tiesību, atbalsta un aizsardzības minimālos standartus (turpmāk - Direktīva) (</w:t>
      </w:r>
      <w:r w:rsidRPr="003B6441">
        <w:rPr>
          <w:bCs/>
          <w:i/>
          <w:sz w:val="26"/>
          <w:szCs w:val="26"/>
        </w:rPr>
        <w:t>http://eur-lex.europa.eu/legal-content/LV/TXT/?uri=CELEX%3A32012L0029)</w:t>
      </w:r>
      <w:r w:rsidRPr="003B6441">
        <w:rPr>
          <w:bCs/>
          <w:sz w:val="26"/>
          <w:szCs w:val="26"/>
        </w:rPr>
        <w:t>.</w:t>
      </w:r>
      <w:r w:rsidR="0046195B">
        <w:rPr>
          <w:bCs/>
          <w:sz w:val="26"/>
          <w:szCs w:val="26"/>
        </w:rPr>
        <w:t xml:space="preserve"> </w:t>
      </w:r>
      <w:r w:rsidRPr="003B6441">
        <w:rPr>
          <w:bCs/>
          <w:sz w:val="26"/>
          <w:szCs w:val="26"/>
        </w:rPr>
        <w:t xml:space="preserve">Direktīvas mērķis ir nodrošināt, lai noziegumos cietušie saņemtu atbilstīgu informāciju, atbalstu un aizsardzību, kas nepieciešama dalībai kriminālprocesā. </w:t>
      </w:r>
      <w:r w:rsidR="00062132">
        <w:rPr>
          <w:bCs/>
          <w:sz w:val="26"/>
          <w:szCs w:val="26"/>
        </w:rPr>
        <w:t>ES dalībvalstīm Direktīvā noteiktās prasības nacionālajos normatīvajos aktos bija jāpārņem līdz 2015.</w:t>
      </w:r>
      <w:r w:rsidR="00185E03">
        <w:rPr>
          <w:bCs/>
          <w:sz w:val="26"/>
          <w:szCs w:val="26"/>
        </w:rPr>
        <w:t> </w:t>
      </w:r>
      <w:r w:rsidR="00062132">
        <w:rPr>
          <w:bCs/>
          <w:sz w:val="26"/>
          <w:szCs w:val="26"/>
        </w:rPr>
        <w:t>gada 16.</w:t>
      </w:r>
      <w:r w:rsidR="00185E03">
        <w:rPr>
          <w:bCs/>
          <w:sz w:val="26"/>
          <w:szCs w:val="26"/>
        </w:rPr>
        <w:t> </w:t>
      </w:r>
      <w:r w:rsidR="00062132">
        <w:rPr>
          <w:bCs/>
          <w:sz w:val="26"/>
          <w:szCs w:val="26"/>
        </w:rPr>
        <w:t xml:space="preserve">novembrim. Attiecībā uz cietušo labāku aizsardzību </w:t>
      </w:r>
      <w:r w:rsidRPr="003B6441">
        <w:rPr>
          <w:bCs/>
          <w:sz w:val="26"/>
          <w:szCs w:val="26"/>
        </w:rPr>
        <w:t>Direktīv</w:t>
      </w:r>
      <w:r w:rsidR="00062132">
        <w:rPr>
          <w:bCs/>
          <w:sz w:val="26"/>
          <w:szCs w:val="26"/>
        </w:rPr>
        <w:t>a</w:t>
      </w:r>
      <w:r w:rsidR="00E47633">
        <w:rPr>
          <w:bCs/>
          <w:sz w:val="26"/>
          <w:szCs w:val="26"/>
        </w:rPr>
        <w:t xml:space="preserve"> </w:t>
      </w:r>
      <w:r w:rsidRPr="003B6441">
        <w:rPr>
          <w:bCs/>
          <w:sz w:val="26"/>
          <w:szCs w:val="26"/>
        </w:rPr>
        <w:t>nosaka dalībvalstu pienākumu nodrošināt katra cietušā vajadzību individuālu novērtējumu, apzinot cietušā nepieciešamību pēc īpašas aizsardzības</w:t>
      </w:r>
      <w:r w:rsidR="00062132">
        <w:rPr>
          <w:bCs/>
          <w:sz w:val="26"/>
          <w:szCs w:val="26"/>
        </w:rPr>
        <w:t xml:space="preserve">. </w:t>
      </w:r>
    </w:p>
    <w:p w:rsidR="00075029" w:rsidRPr="00686F63" w:rsidRDefault="00062132" w:rsidP="00075029">
      <w:pPr>
        <w:spacing w:after="0" w:line="240" w:lineRule="auto"/>
        <w:ind w:firstLine="720"/>
        <w:jc w:val="both"/>
        <w:rPr>
          <w:bCs/>
          <w:sz w:val="26"/>
          <w:szCs w:val="26"/>
        </w:rPr>
      </w:pPr>
      <w:r w:rsidRPr="00686F63">
        <w:rPr>
          <w:bCs/>
          <w:sz w:val="26"/>
          <w:szCs w:val="26"/>
        </w:rPr>
        <w:t>Atbilstoši Sociālo pakalpojumu un sociālās palīdzības likuma 13.</w:t>
      </w:r>
      <w:r w:rsidR="00185E03">
        <w:t> </w:t>
      </w:r>
      <w:r w:rsidRPr="00686F63">
        <w:rPr>
          <w:bCs/>
          <w:sz w:val="26"/>
          <w:szCs w:val="26"/>
        </w:rPr>
        <w:t>panta pirmās daļas 3.</w:t>
      </w:r>
      <w:r w:rsidRPr="00686F63">
        <w:rPr>
          <w:bCs/>
          <w:sz w:val="26"/>
          <w:szCs w:val="26"/>
          <w:vertAlign w:val="superscript"/>
        </w:rPr>
        <w:t>1</w:t>
      </w:r>
      <w:r w:rsidRPr="00686F63">
        <w:rPr>
          <w:bCs/>
          <w:sz w:val="26"/>
          <w:szCs w:val="26"/>
        </w:rPr>
        <w:t xml:space="preserve"> punktam un pārejas noteikumu 17.</w:t>
      </w:r>
      <w:r w:rsidRPr="00686F63">
        <w:rPr>
          <w:bCs/>
          <w:sz w:val="26"/>
          <w:szCs w:val="26"/>
          <w:vertAlign w:val="superscript"/>
        </w:rPr>
        <w:t>1</w:t>
      </w:r>
      <w:r w:rsidRPr="00686F63">
        <w:rPr>
          <w:bCs/>
          <w:sz w:val="26"/>
          <w:szCs w:val="26"/>
        </w:rPr>
        <w:t xml:space="preserve"> punktam kopš 2015.</w:t>
      </w:r>
      <w:r w:rsidR="00185E03">
        <w:rPr>
          <w:bCs/>
          <w:sz w:val="26"/>
          <w:szCs w:val="26"/>
        </w:rPr>
        <w:t> </w:t>
      </w:r>
      <w:r w:rsidRPr="00686F63">
        <w:rPr>
          <w:bCs/>
          <w:sz w:val="26"/>
          <w:szCs w:val="26"/>
        </w:rPr>
        <w:t>gada 1.</w:t>
      </w:r>
      <w:r w:rsidR="00185E03">
        <w:rPr>
          <w:bCs/>
          <w:sz w:val="26"/>
          <w:szCs w:val="26"/>
        </w:rPr>
        <w:t> </w:t>
      </w:r>
      <w:r w:rsidRPr="00686F63">
        <w:rPr>
          <w:bCs/>
          <w:sz w:val="26"/>
          <w:szCs w:val="26"/>
        </w:rPr>
        <w:t>janvāra no vardarbības cietušām pilngadīgām personām ir tiesības saņemt sociālās rehabilitācijas pakalpojumus par valsts budžeta līdzekļiem. 2014.</w:t>
      </w:r>
      <w:r w:rsidR="00185E03">
        <w:rPr>
          <w:bCs/>
          <w:sz w:val="26"/>
          <w:szCs w:val="26"/>
        </w:rPr>
        <w:t> </w:t>
      </w:r>
      <w:r w:rsidRPr="00686F63">
        <w:rPr>
          <w:bCs/>
          <w:sz w:val="26"/>
          <w:szCs w:val="26"/>
        </w:rPr>
        <w:t xml:space="preserve">gada </w:t>
      </w:r>
      <w:r w:rsidRPr="00686F63">
        <w:rPr>
          <w:bCs/>
          <w:sz w:val="26"/>
          <w:szCs w:val="26"/>
        </w:rPr>
        <w:lastRenderedPageBreak/>
        <w:t>23.</w:t>
      </w:r>
      <w:r w:rsidR="00185E03">
        <w:rPr>
          <w:bCs/>
          <w:sz w:val="26"/>
          <w:szCs w:val="26"/>
        </w:rPr>
        <w:t> </w:t>
      </w:r>
      <w:r w:rsidRPr="00686F63">
        <w:rPr>
          <w:bCs/>
          <w:sz w:val="26"/>
          <w:szCs w:val="26"/>
        </w:rPr>
        <w:t>decembrī pieņemtie Ministru kabineta noteikumi Nr.790 „Sociālās rehabilitācijas pakalpojumu sniegšanas kārtība no vardarbības cietušām un vardarbību veikušām pilngadīgām personām” nosaka, ka šādus pakalpojumus ir tiesības saņemt pilngadīgām personām, kuras cietušas no fiziskas, seksuālas, ekonomiskas vai emocionālas vardarbības vai fiziskas vai seksuālas vardarbības draudiem vai vardarbīgas kontroles.</w:t>
      </w:r>
      <w:r w:rsidR="00E47633">
        <w:rPr>
          <w:bCs/>
          <w:sz w:val="26"/>
          <w:szCs w:val="26"/>
        </w:rPr>
        <w:t xml:space="preserve"> </w:t>
      </w:r>
      <w:r w:rsidRPr="00686F63">
        <w:rPr>
          <w:bCs/>
          <w:sz w:val="26"/>
          <w:szCs w:val="26"/>
        </w:rPr>
        <w:t>Šobrīd valstī nav vienotas pieejas personas vajadzību izvērtēšanai, līdz ar to arī speciālistu izpratne un iemaņas vardarbības risku izvērtēšanā un savlaicīgā novēršanā atšķiras. Tāpat novērots, ka institūciju savstarpējā sadarbība ne vienmēr ir efektīva, speciālistiem nereti trūkst izpratnes par citu institūciju lomu un kompetenci vardarbības ģimenē gadījumu risināšanā un atbalsta sniegšanā upuriem. Tāpat speciālistiem nav vienotas pieejas vardarbības, jo īpaši atkārtotas vardarbības</w:t>
      </w:r>
      <w:r>
        <w:rPr>
          <w:bCs/>
          <w:sz w:val="26"/>
          <w:szCs w:val="26"/>
        </w:rPr>
        <w:t>,</w:t>
      </w:r>
      <w:r w:rsidRPr="00686F63">
        <w:rPr>
          <w:bCs/>
          <w:sz w:val="26"/>
          <w:szCs w:val="26"/>
        </w:rPr>
        <w:t xml:space="preserve"> risku novērtēšanā, kā rezultātā pastāv risks, ka netiek veikta vardarbības gadījuma un upura vajadzību holistiska analīze. Tas savukārt rada sekundāras </w:t>
      </w:r>
      <w:proofErr w:type="spellStart"/>
      <w:r w:rsidRPr="00686F63">
        <w:rPr>
          <w:bCs/>
          <w:sz w:val="26"/>
          <w:szCs w:val="26"/>
        </w:rPr>
        <w:t>viktimizācijas</w:t>
      </w:r>
      <w:proofErr w:type="spellEnd"/>
      <w:r w:rsidRPr="00686F63">
        <w:rPr>
          <w:bCs/>
          <w:sz w:val="26"/>
          <w:szCs w:val="26"/>
        </w:rPr>
        <w:t xml:space="preserve"> draudus un veicina atkārtotas vardarbības risku.</w:t>
      </w:r>
      <w:r w:rsidR="00AD6008">
        <w:rPr>
          <w:bCs/>
          <w:sz w:val="26"/>
          <w:szCs w:val="26"/>
        </w:rPr>
        <w:t xml:space="preserve"> </w:t>
      </w:r>
      <w:r w:rsidR="00075029" w:rsidRPr="00686F63">
        <w:rPr>
          <w:bCs/>
          <w:sz w:val="26"/>
          <w:szCs w:val="26"/>
        </w:rPr>
        <w:t>LM iesniegtais projekts orientēts uz to speciālistu profesionālo kompetenču attīstīšanu, kuri ikdienā saskaras vai varētu saskarties ar personām, kas cietušas no vardarbības ģimenē vai citās tuvās attiecībās. Šo speciālistu lokā ir Valsts policijas un pašvaldības policijas darbinieki, sociālie darbinieki, bērnu tiesību speciālisti, veselības aprūpes speciālisti un nozares nevalstisko organizāciju eksperti.</w:t>
      </w:r>
    </w:p>
    <w:p w:rsidR="00075029" w:rsidRPr="00686F63" w:rsidRDefault="00075029" w:rsidP="00075029">
      <w:pPr>
        <w:spacing w:after="0" w:line="240" w:lineRule="auto"/>
        <w:ind w:firstLine="720"/>
        <w:jc w:val="both"/>
        <w:rPr>
          <w:bCs/>
          <w:sz w:val="26"/>
          <w:szCs w:val="26"/>
        </w:rPr>
      </w:pPr>
      <w:r w:rsidRPr="00686F63">
        <w:rPr>
          <w:bCs/>
          <w:sz w:val="26"/>
          <w:szCs w:val="26"/>
        </w:rPr>
        <w:t>Eiropā ir pazīstamas vairākas vardarbības upuru vajadzību novērtēšanas metodoloģijas, un vairāku valstu, tai skaitā Somijas, Nīderlandes un Spānijas</w:t>
      </w:r>
      <w:r w:rsidR="00937ADC">
        <w:rPr>
          <w:bCs/>
          <w:sz w:val="26"/>
          <w:szCs w:val="26"/>
        </w:rPr>
        <w:t>,</w:t>
      </w:r>
      <w:r w:rsidRPr="00686F63">
        <w:rPr>
          <w:bCs/>
          <w:sz w:val="26"/>
          <w:szCs w:val="26"/>
        </w:rPr>
        <w:t xml:space="preserve"> pieredze liecina, ka savlaicīga un visaptveroša reaģēšana uz upura vajadzībām var novērst vardarbību vai atkārtotu vardarbību un samazināt atkārtotas </w:t>
      </w:r>
      <w:proofErr w:type="spellStart"/>
      <w:r w:rsidRPr="00686F63">
        <w:rPr>
          <w:bCs/>
          <w:sz w:val="26"/>
          <w:szCs w:val="26"/>
        </w:rPr>
        <w:t>viktimizācijas</w:t>
      </w:r>
      <w:proofErr w:type="spellEnd"/>
      <w:r w:rsidRPr="00686F63">
        <w:rPr>
          <w:bCs/>
          <w:sz w:val="26"/>
          <w:szCs w:val="26"/>
        </w:rPr>
        <w:t xml:space="preserve"> risku. ES Pamattiesību aģentūra 2015.</w:t>
      </w:r>
      <w:r w:rsidR="00185E03">
        <w:rPr>
          <w:bCs/>
          <w:sz w:val="26"/>
          <w:szCs w:val="26"/>
        </w:rPr>
        <w:t> </w:t>
      </w:r>
      <w:r w:rsidRPr="00686F63">
        <w:rPr>
          <w:bCs/>
          <w:sz w:val="26"/>
          <w:szCs w:val="26"/>
        </w:rPr>
        <w:t>gada februārī publicētajā ziņojumā „Noziegumos cietušie Eiropas Savienībā: cietušo atbalsta pasākumu saturs un apjoms” (</w:t>
      </w:r>
      <w:hyperlink r:id="rId9" w:history="1">
        <w:r w:rsidRPr="00686F63">
          <w:rPr>
            <w:rStyle w:val="Hyperlink"/>
            <w:bCs/>
            <w:i/>
            <w:sz w:val="26"/>
            <w:szCs w:val="26"/>
          </w:rPr>
          <w:t>http://fra.europa.eu/sites/default/files/fra-2015-victims-crime-eu-support_en_0.pdf</w:t>
        </w:r>
      </w:hyperlink>
      <w:r w:rsidRPr="00686F63">
        <w:rPr>
          <w:bCs/>
          <w:sz w:val="26"/>
          <w:szCs w:val="26"/>
        </w:rPr>
        <w:t>), secinājusi, ka Latvija ir viena no tām astoņām ES dalībvalstīm, kurās visaptveroša noziegumos cietušo personu atbalsta sistēma nav izveidota. Šāds secinājums īpaši akcentē nepieciešamību izglītot nozaru speciālistus darbā ar vardarbības ģimenē upuriem.</w:t>
      </w:r>
    </w:p>
    <w:p w:rsidR="00075029" w:rsidRPr="00686F63" w:rsidRDefault="00075029" w:rsidP="00075029">
      <w:pPr>
        <w:spacing w:after="0" w:line="240" w:lineRule="auto"/>
        <w:ind w:firstLine="720"/>
        <w:jc w:val="both"/>
        <w:rPr>
          <w:sz w:val="26"/>
          <w:szCs w:val="26"/>
        </w:rPr>
      </w:pPr>
      <w:r w:rsidRPr="00686F63">
        <w:rPr>
          <w:bCs/>
          <w:sz w:val="26"/>
          <w:szCs w:val="26"/>
        </w:rPr>
        <w:t>Papildus projekts akcentē nepieciešamību pilnveidot sabiedrības zināšanas par vardarbības ģimenē riskiem un pazīmēm, kā arī informēt par institūcijām, kurās ir iespējams saņemt atbalstu vardarbības gadījumos. ES Pamattiesību aģentūras 2014.</w:t>
      </w:r>
      <w:r w:rsidR="00185E03">
        <w:rPr>
          <w:bCs/>
          <w:sz w:val="26"/>
          <w:szCs w:val="26"/>
        </w:rPr>
        <w:t>  </w:t>
      </w:r>
      <w:r w:rsidRPr="00686F63">
        <w:rPr>
          <w:bCs/>
          <w:sz w:val="26"/>
          <w:szCs w:val="26"/>
        </w:rPr>
        <w:t>gadā publicētajā pārskatā ”Vardarbība pret sievietēm: Eiropas Savienības mēroga apsekojums”</w:t>
      </w:r>
      <w:r w:rsidRPr="00686F63">
        <w:rPr>
          <w:rStyle w:val="FootnoteReference"/>
          <w:bCs/>
          <w:sz w:val="26"/>
          <w:szCs w:val="26"/>
        </w:rPr>
        <w:footnoteReference w:id="2"/>
      </w:r>
      <w:r w:rsidRPr="00686F63">
        <w:rPr>
          <w:bCs/>
          <w:sz w:val="26"/>
          <w:szCs w:val="26"/>
        </w:rPr>
        <w:t xml:space="preserve"> secināts, ka vidēji katra piektā ES dzīvojoša sieviete nav informēta par nacionāla mēroga atbalsta pakalpojumiem, vienlaikus gandrīz puse (49%) no Latvijā dzīvojošajām sievietēm nav dzirdēju</w:t>
      </w:r>
      <w:r w:rsidR="00937ADC">
        <w:rPr>
          <w:bCs/>
          <w:sz w:val="26"/>
          <w:szCs w:val="26"/>
        </w:rPr>
        <w:t>šas</w:t>
      </w:r>
      <w:r w:rsidRPr="00686F63">
        <w:rPr>
          <w:bCs/>
          <w:sz w:val="26"/>
          <w:szCs w:val="26"/>
        </w:rPr>
        <w:t xml:space="preserve"> ne par vienu no publiskajā vai privātajā sektorā nodrošinātajiem atbalsta pakalpojumiem vardarbības upuriem.</w:t>
      </w:r>
    </w:p>
    <w:p w:rsidR="00075029" w:rsidRPr="00686F63" w:rsidRDefault="00075029" w:rsidP="00075029">
      <w:pPr>
        <w:spacing w:after="120" w:line="240" w:lineRule="auto"/>
        <w:ind w:firstLine="720"/>
        <w:jc w:val="both"/>
        <w:rPr>
          <w:bCs/>
          <w:sz w:val="26"/>
          <w:szCs w:val="26"/>
        </w:rPr>
      </w:pPr>
      <w:r w:rsidRPr="00686F63">
        <w:rPr>
          <w:bCs/>
          <w:sz w:val="26"/>
          <w:szCs w:val="26"/>
        </w:rPr>
        <w:lastRenderedPageBreak/>
        <w:t xml:space="preserve">Projekta mērķis ir ieviest efektīvu, vispusīgu un saskaņotu institūciju rīcības modeli, reaģējot uz vardarbības ģimenē gadījumiem. Projektā plānoti šādi rīcības virzieni: </w:t>
      </w:r>
    </w:p>
    <w:p w:rsidR="00075029" w:rsidRPr="00686F63" w:rsidRDefault="00075029" w:rsidP="00075029">
      <w:pPr>
        <w:numPr>
          <w:ilvl w:val="0"/>
          <w:numId w:val="4"/>
        </w:numPr>
        <w:spacing w:after="120" w:line="240" w:lineRule="auto"/>
        <w:jc w:val="both"/>
        <w:rPr>
          <w:bCs/>
          <w:sz w:val="26"/>
          <w:szCs w:val="26"/>
        </w:rPr>
      </w:pPr>
      <w:r w:rsidRPr="00686F63">
        <w:rPr>
          <w:bCs/>
          <w:sz w:val="26"/>
          <w:szCs w:val="26"/>
        </w:rPr>
        <w:t xml:space="preserve">Saskaņotas un uz cietušajiem centrētas institūciju rīcības modeļa aprobācija kādā no Latvijas pašvaldībām, iesaistot Valsts policijas, sociālā dienesta un pakalpojumu sniedzēju pārstāvjus. Tai skaitā, plānots izstrādāt vadlīnijas speciālistiem saskaņotai vardarbības gadījumu risināšanai un riska novērtēšanas instrumentus, kā arī apmācīt speciālistus šo instrumentu izmantošanā. </w:t>
      </w:r>
    </w:p>
    <w:p w:rsidR="00075029" w:rsidRPr="00686F63" w:rsidRDefault="00075029" w:rsidP="00075029">
      <w:pPr>
        <w:numPr>
          <w:ilvl w:val="0"/>
          <w:numId w:val="4"/>
        </w:numPr>
        <w:spacing w:after="120" w:line="240" w:lineRule="auto"/>
        <w:jc w:val="both"/>
        <w:rPr>
          <w:bCs/>
          <w:sz w:val="26"/>
          <w:szCs w:val="26"/>
        </w:rPr>
      </w:pPr>
      <w:r w:rsidRPr="00686F63">
        <w:rPr>
          <w:bCs/>
          <w:sz w:val="26"/>
          <w:szCs w:val="26"/>
        </w:rPr>
        <w:t>Saskaņota un uz cietušajiem centrēta institūciju rīcības modeļa plašāka ieviešana</w:t>
      </w:r>
      <w:r w:rsidR="00100F58">
        <w:rPr>
          <w:bCs/>
          <w:sz w:val="26"/>
          <w:szCs w:val="26"/>
        </w:rPr>
        <w:t xml:space="preserve"> </w:t>
      </w:r>
      <w:r w:rsidR="00F95A9B" w:rsidRPr="002759A0">
        <w:rPr>
          <w:bCs/>
          <w:iCs/>
          <w:sz w:val="26"/>
          <w:szCs w:val="26"/>
        </w:rPr>
        <w:t>piecos Latvijas reģionos, kā arī semināri par šī modeļa ieviešanu</w:t>
      </w:r>
      <w:r w:rsidR="00F95A9B" w:rsidRPr="00F95A9B">
        <w:rPr>
          <w:bCs/>
          <w:sz w:val="26"/>
          <w:szCs w:val="26"/>
        </w:rPr>
        <w:t>.</w:t>
      </w:r>
    </w:p>
    <w:p w:rsidR="00075029" w:rsidRPr="00686F63" w:rsidRDefault="00075029" w:rsidP="00075029">
      <w:pPr>
        <w:numPr>
          <w:ilvl w:val="0"/>
          <w:numId w:val="4"/>
        </w:numPr>
        <w:spacing w:after="120" w:line="240" w:lineRule="auto"/>
        <w:jc w:val="both"/>
        <w:rPr>
          <w:bCs/>
          <w:sz w:val="26"/>
          <w:szCs w:val="26"/>
        </w:rPr>
      </w:pPr>
      <w:r w:rsidRPr="00686F63">
        <w:rPr>
          <w:bCs/>
          <w:sz w:val="26"/>
          <w:szCs w:val="26"/>
        </w:rPr>
        <w:t xml:space="preserve">Sabiedrības informēšanas aktivitātes, tai skaitā iesaistot un apmācot reģionālo mediju žurnālistus. </w:t>
      </w:r>
    </w:p>
    <w:p w:rsidR="00822638" w:rsidRPr="00684172" w:rsidRDefault="00DD6802" w:rsidP="00822638">
      <w:pPr>
        <w:spacing w:after="0" w:line="240" w:lineRule="auto"/>
        <w:ind w:firstLine="720"/>
        <w:jc w:val="both"/>
        <w:rPr>
          <w:sz w:val="26"/>
          <w:szCs w:val="26"/>
        </w:rPr>
      </w:pPr>
      <w:r w:rsidRPr="00684172">
        <w:rPr>
          <w:sz w:val="26"/>
          <w:szCs w:val="26"/>
        </w:rPr>
        <w:t>Projekta īstenošanas ietvaros tiks nodrošināta demarkācija (atbalsta nepārklāšanās) ar atbalstu, kas mērķa grupai var tikt sniegts, īstenojot ES struktūrfondu un Kohēzijas fonda 2014. - 2020. gada plānošanas perioda darbības programmas “Izaugsme un nodarbinātība” specifiskos atbalsta mērķus un pasākumus.</w:t>
      </w:r>
    </w:p>
    <w:p w:rsidR="00DD6802" w:rsidRDefault="00DD6802" w:rsidP="00822638">
      <w:pPr>
        <w:spacing w:after="0" w:line="240" w:lineRule="auto"/>
        <w:ind w:firstLine="720"/>
        <w:jc w:val="both"/>
        <w:rPr>
          <w:sz w:val="26"/>
          <w:szCs w:val="26"/>
          <w:u w:val="single"/>
        </w:rPr>
      </w:pPr>
    </w:p>
    <w:p w:rsidR="00075029" w:rsidRPr="00E12B18" w:rsidRDefault="00075029" w:rsidP="00075029">
      <w:pPr>
        <w:spacing w:after="120" w:line="240" w:lineRule="auto"/>
        <w:ind w:firstLine="720"/>
        <w:jc w:val="both"/>
        <w:rPr>
          <w:sz w:val="26"/>
          <w:szCs w:val="26"/>
          <w:u w:val="single"/>
        </w:rPr>
      </w:pPr>
      <w:r w:rsidRPr="00E12B18">
        <w:rPr>
          <w:sz w:val="26"/>
          <w:szCs w:val="26"/>
          <w:u w:val="single"/>
        </w:rPr>
        <w:t>Projekta īstenošanai indikatīvi paredzētais finansējuma apjoms:</w:t>
      </w:r>
    </w:p>
    <w:p w:rsidR="00FF0D03" w:rsidRPr="00FF0D03" w:rsidRDefault="00FF0D03" w:rsidP="00822638">
      <w:pPr>
        <w:spacing w:after="0" w:line="240" w:lineRule="auto"/>
        <w:ind w:firstLine="720"/>
        <w:jc w:val="both"/>
        <w:rPr>
          <w:bCs/>
          <w:sz w:val="26"/>
          <w:szCs w:val="26"/>
        </w:rPr>
      </w:pPr>
      <w:r w:rsidRPr="00822638">
        <w:rPr>
          <w:bCs/>
          <w:sz w:val="26"/>
          <w:szCs w:val="26"/>
        </w:rPr>
        <w:t xml:space="preserve">Projekta kopējais finansējums 256 658 </w:t>
      </w:r>
      <w:proofErr w:type="spellStart"/>
      <w:r w:rsidRPr="008B7E08">
        <w:rPr>
          <w:bCs/>
          <w:i/>
          <w:sz w:val="26"/>
          <w:szCs w:val="26"/>
        </w:rPr>
        <w:t>euro</w:t>
      </w:r>
      <w:proofErr w:type="spellEnd"/>
      <w:r w:rsidRPr="00FF0D03">
        <w:rPr>
          <w:bCs/>
          <w:sz w:val="26"/>
          <w:szCs w:val="26"/>
        </w:rPr>
        <w:t xml:space="preserve">, tai skaitā attiecināmās izmaksas ir </w:t>
      </w:r>
      <w:r w:rsidRPr="00822638">
        <w:rPr>
          <w:bCs/>
          <w:sz w:val="26"/>
          <w:szCs w:val="26"/>
        </w:rPr>
        <w:t xml:space="preserve">251 958 </w:t>
      </w:r>
      <w:proofErr w:type="spellStart"/>
      <w:r w:rsidRPr="008B7E08">
        <w:rPr>
          <w:bCs/>
          <w:i/>
          <w:sz w:val="26"/>
          <w:szCs w:val="26"/>
        </w:rPr>
        <w:t>euro</w:t>
      </w:r>
      <w:proofErr w:type="spellEnd"/>
      <w:r w:rsidRPr="00822638">
        <w:rPr>
          <w:bCs/>
          <w:sz w:val="26"/>
          <w:szCs w:val="26"/>
        </w:rPr>
        <w:t xml:space="preserve">, no tām </w:t>
      </w:r>
      <w:r w:rsidRPr="00FF0D03">
        <w:rPr>
          <w:bCs/>
          <w:sz w:val="26"/>
          <w:szCs w:val="26"/>
        </w:rPr>
        <w:t xml:space="preserve">80% jeb </w:t>
      </w:r>
      <w:r w:rsidRPr="00822638">
        <w:rPr>
          <w:bCs/>
          <w:sz w:val="26"/>
          <w:szCs w:val="26"/>
        </w:rPr>
        <w:t xml:space="preserve">201 565 </w:t>
      </w:r>
      <w:proofErr w:type="spellStart"/>
      <w:r w:rsidRPr="008B7E08">
        <w:rPr>
          <w:bCs/>
          <w:i/>
          <w:sz w:val="26"/>
          <w:szCs w:val="26"/>
        </w:rPr>
        <w:t>euro</w:t>
      </w:r>
      <w:proofErr w:type="spellEnd"/>
      <w:r w:rsidRPr="00FF0D03">
        <w:rPr>
          <w:bCs/>
          <w:sz w:val="26"/>
          <w:szCs w:val="26"/>
        </w:rPr>
        <w:t xml:space="preserve"> paredzēts finansēt no EK granta, bet 20% jeb </w:t>
      </w:r>
      <w:r w:rsidR="00FC6194">
        <w:rPr>
          <w:bCs/>
          <w:sz w:val="26"/>
          <w:szCs w:val="26"/>
        </w:rPr>
        <w:t>50 393</w:t>
      </w:r>
      <w:r w:rsidRPr="00822638">
        <w:rPr>
          <w:bCs/>
          <w:sz w:val="26"/>
          <w:szCs w:val="26"/>
        </w:rPr>
        <w:t xml:space="preserve"> </w:t>
      </w:r>
      <w:proofErr w:type="spellStart"/>
      <w:r w:rsidRPr="008B7E08">
        <w:rPr>
          <w:bCs/>
          <w:i/>
          <w:sz w:val="26"/>
          <w:szCs w:val="26"/>
        </w:rPr>
        <w:t>euro</w:t>
      </w:r>
      <w:proofErr w:type="spellEnd"/>
      <w:r w:rsidRPr="00FF0D03">
        <w:rPr>
          <w:bCs/>
          <w:sz w:val="26"/>
          <w:szCs w:val="26"/>
        </w:rPr>
        <w:t xml:space="preserve"> ir Latvijas puses līdzfinansējums. Finansējums neattiecināmo izmaksu segšanai (PVN nav attiecināmās izmaksas) ir </w:t>
      </w:r>
      <w:r w:rsidRPr="00822638">
        <w:rPr>
          <w:bCs/>
          <w:sz w:val="26"/>
          <w:szCs w:val="26"/>
        </w:rPr>
        <w:t xml:space="preserve">4 700 </w:t>
      </w:r>
      <w:proofErr w:type="spellStart"/>
      <w:r w:rsidRPr="008B7E08">
        <w:rPr>
          <w:bCs/>
          <w:i/>
          <w:sz w:val="26"/>
          <w:szCs w:val="26"/>
        </w:rPr>
        <w:t>euro</w:t>
      </w:r>
      <w:proofErr w:type="spellEnd"/>
      <w:r w:rsidRPr="00802AAB">
        <w:rPr>
          <w:bCs/>
          <w:sz w:val="26"/>
          <w:szCs w:val="26"/>
        </w:rPr>
        <w:t>.</w:t>
      </w:r>
      <w:r w:rsidRPr="00FF0D03">
        <w:rPr>
          <w:bCs/>
          <w:sz w:val="26"/>
          <w:szCs w:val="26"/>
        </w:rPr>
        <w:t xml:space="preserve"> </w:t>
      </w:r>
    </w:p>
    <w:p w:rsidR="00FF0D03" w:rsidRPr="00FF0D03" w:rsidRDefault="00FF0D03" w:rsidP="00822638">
      <w:pPr>
        <w:spacing w:after="0" w:line="240" w:lineRule="auto"/>
        <w:ind w:firstLine="720"/>
        <w:jc w:val="both"/>
        <w:rPr>
          <w:bCs/>
          <w:sz w:val="26"/>
          <w:szCs w:val="26"/>
        </w:rPr>
      </w:pPr>
      <w:r w:rsidRPr="00FF0D03">
        <w:rPr>
          <w:bCs/>
          <w:sz w:val="26"/>
          <w:szCs w:val="26"/>
        </w:rPr>
        <w:t xml:space="preserve">Papildus nepieciešams finansējums no valsts budžeta priekšfinansējuma nodrošināšanai (20% no EK granta) 40 313 </w:t>
      </w:r>
      <w:proofErr w:type="spellStart"/>
      <w:r w:rsidRPr="008B7E08">
        <w:rPr>
          <w:bCs/>
          <w:i/>
          <w:sz w:val="26"/>
          <w:szCs w:val="26"/>
        </w:rPr>
        <w:t>euro</w:t>
      </w:r>
      <w:proofErr w:type="spellEnd"/>
      <w:r w:rsidRPr="00FF0D03">
        <w:rPr>
          <w:bCs/>
          <w:sz w:val="26"/>
          <w:szCs w:val="26"/>
        </w:rPr>
        <w:t xml:space="preserve"> apmērā. Priekšfinansējums kā gala maksājums tiks atmaksāts un ieskaitīts valsts budžetā pēc noslēguma ziņojuma un finanšu pārskata saņemšanas un apstiprināšanas EK.</w:t>
      </w:r>
    </w:p>
    <w:p w:rsidR="00FF0D03" w:rsidRPr="00FF0D03" w:rsidRDefault="00FF0D03" w:rsidP="00FF0D03">
      <w:pPr>
        <w:spacing w:after="120" w:line="240" w:lineRule="auto"/>
        <w:ind w:firstLine="720"/>
        <w:jc w:val="both"/>
        <w:rPr>
          <w:bCs/>
          <w:sz w:val="26"/>
          <w:szCs w:val="26"/>
        </w:rPr>
      </w:pPr>
      <w:r w:rsidRPr="00FF0D03">
        <w:rPr>
          <w:bCs/>
          <w:sz w:val="26"/>
          <w:szCs w:val="26"/>
        </w:rPr>
        <w:t xml:space="preserve">Līdz ar to </w:t>
      </w:r>
      <w:r w:rsidR="00802AAB" w:rsidRPr="00802AAB">
        <w:rPr>
          <w:bCs/>
          <w:sz w:val="26"/>
          <w:szCs w:val="26"/>
        </w:rPr>
        <w:t>kopējais</w:t>
      </w:r>
      <w:r w:rsidRPr="00802AAB">
        <w:rPr>
          <w:bCs/>
          <w:sz w:val="26"/>
          <w:szCs w:val="26"/>
        </w:rPr>
        <w:t xml:space="preserve"> valsts budžeta finansējuma </w:t>
      </w:r>
      <w:r w:rsidRPr="00FF0D03">
        <w:rPr>
          <w:bCs/>
          <w:sz w:val="26"/>
          <w:szCs w:val="26"/>
        </w:rPr>
        <w:t>apmērs</w:t>
      </w:r>
      <w:r w:rsidR="00802AAB">
        <w:rPr>
          <w:bCs/>
          <w:sz w:val="26"/>
          <w:szCs w:val="26"/>
        </w:rPr>
        <w:t xml:space="preserve">, ieskaitot arī priekšfinansējumu, </w:t>
      </w:r>
      <w:r w:rsidRPr="00FF0D03">
        <w:rPr>
          <w:bCs/>
          <w:sz w:val="26"/>
          <w:szCs w:val="26"/>
        </w:rPr>
        <w:t xml:space="preserve">ir </w:t>
      </w:r>
      <w:r w:rsidRPr="00802AAB">
        <w:rPr>
          <w:bCs/>
          <w:sz w:val="26"/>
          <w:szCs w:val="26"/>
        </w:rPr>
        <w:t xml:space="preserve">95 406 </w:t>
      </w:r>
      <w:proofErr w:type="spellStart"/>
      <w:r w:rsidRPr="00802AAB">
        <w:rPr>
          <w:bCs/>
          <w:i/>
          <w:sz w:val="26"/>
          <w:szCs w:val="26"/>
        </w:rPr>
        <w:t>euro</w:t>
      </w:r>
      <w:proofErr w:type="spellEnd"/>
      <w:r w:rsidR="00802AAB" w:rsidRPr="00802AAB">
        <w:rPr>
          <w:bCs/>
          <w:sz w:val="26"/>
          <w:szCs w:val="26"/>
        </w:rPr>
        <w:t xml:space="preserve"> (skat.</w:t>
      </w:r>
      <w:r w:rsidR="00802AAB">
        <w:rPr>
          <w:bCs/>
          <w:sz w:val="26"/>
          <w:szCs w:val="26"/>
        </w:rPr>
        <w:t xml:space="preserve"> </w:t>
      </w:r>
      <w:r w:rsidR="00802AAB" w:rsidRPr="00802AAB">
        <w:rPr>
          <w:bCs/>
          <w:sz w:val="26"/>
          <w:szCs w:val="26"/>
        </w:rPr>
        <w:t>tabulu Nr.1)</w:t>
      </w:r>
      <w:r w:rsidR="00802AAB">
        <w:rPr>
          <w:bCs/>
          <w:sz w:val="26"/>
          <w:szCs w:val="26"/>
        </w:rPr>
        <w:t>.</w:t>
      </w:r>
    </w:p>
    <w:p w:rsidR="00DD6802" w:rsidRDefault="00DD6802" w:rsidP="00FF0D03">
      <w:pPr>
        <w:spacing w:after="120" w:line="240" w:lineRule="auto"/>
        <w:ind w:firstLine="720"/>
        <w:jc w:val="both"/>
        <w:rPr>
          <w:bCs/>
          <w:sz w:val="26"/>
          <w:szCs w:val="26"/>
        </w:rPr>
      </w:pPr>
    </w:p>
    <w:p w:rsidR="00FF0D03" w:rsidRPr="00FF0D03" w:rsidRDefault="00FF0D03" w:rsidP="00FF0D03">
      <w:pPr>
        <w:spacing w:after="120" w:line="240" w:lineRule="auto"/>
        <w:ind w:firstLine="720"/>
        <w:jc w:val="both"/>
        <w:rPr>
          <w:bCs/>
          <w:sz w:val="26"/>
          <w:szCs w:val="26"/>
        </w:rPr>
      </w:pPr>
      <w:r w:rsidRPr="00FF0D03">
        <w:rPr>
          <w:bCs/>
          <w:sz w:val="26"/>
          <w:szCs w:val="26"/>
        </w:rPr>
        <w:t>Tabula Nr.1 Projekta īstenošanai nepieciešamā finansējuma sadalījums pa gadiem (</w:t>
      </w:r>
      <w:proofErr w:type="spellStart"/>
      <w:r w:rsidRPr="00FF0D03">
        <w:rPr>
          <w:bCs/>
          <w:i/>
          <w:sz w:val="26"/>
          <w:szCs w:val="26"/>
        </w:rPr>
        <w:t>euro</w:t>
      </w:r>
      <w:proofErr w:type="spellEnd"/>
      <w:r w:rsidRPr="00FF0D03">
        <w:rPr>
          <w:bCs/>
          <w:sz w:val="26"/>
          <w:szCs w:val="26"/>
        </w:rPr>
        <w:t>):</w:t>
      </w:r>
    </w:p>
    <w:tbl>
      <w:tblPr>
        <w:tblW w:w="8364" w:type="dxa"/>
        <w:tblInd w:w="675" w:type="dxa"/>
        <w:tblLook w:val="04A0" w:firstRow="1" w:lastRow="0" w:firstColumn="1" w:lastColumn="0" w:noHBand="0" w:noVBand="1"/>
      </w:tblPr>
      <w:tblGrid>
        <w:gridCol w:w="3402"/>
        <w:gridCol w:w="1843"/>
        <w:gridCol w:w="1418"/>
        <w:gridCol w:w="1701"/>
      </w:tblGrid>
      <w:tr w:rsidR="00FF0D03" w:rsidRPr="00FF0D03" w:rsidTr="00FF0D03">
        <w:trPr>
          <w:trHeight w:val="330"/>
        </w:trPr>
        <w:tc>
          <w:tcPr>
            <w:tcW w:w="3402" w:type="dxa"/>
            <w:tcBorders>
              <w:top w:val="single" w:sz="8" w:space="0" w:color="000000"/>
              <w:left w:val="single" w:sz="8" w:space="0" w:color="000000"/>
              <w:bottom w:val="single" w:sz="8" w:space="0" w:color="000000"/>
              <w:right w:val="single" w:sz="8" w:space="0" w:color="000000"/>
            </w:tcBorders>
            <w:vAlign w:val="center"/>
            <w:hideMark/>
          </w:tcPr>
          <w:p w:rsidR="00FF0D03" w:rsidRPr="00FF0D03" w:rsidRDefault="00FF0D03" w:rsidP="00FF0D03">
            <w:pPr>
              <w:spacing w:after="120" w:line="240" w:lineRule="auto"/>
              <w:ind w:firstLine="720"/>
              <w:jc w:val="both"/>
              <w:rPr>
                <w:sz w:val="26"/>
                <w:szCs w:val="26"/>
              </w:rPr>
            </w:pPr>
            <w:r w:rsidRPr="00FF0D03">
              <w:rPr>
                <w:sz w:val="26"/>
                <w:szCs w:val="26"/>
              </w:rPr>
              <w:t> </w:t>
            </w:r>
          </w:p>
        </w:tc>
        <w:tc>
          <w:tcPr>
            <w:tcW w:w="1843" w:type="dxa"/>
            <w:tcBorders>
              <w:top w:val="single" w:sz="8" w:space="0" w:color="000000"/>
              <w:left w:val="nil"/>
              <w:bottom w:val="single" w:sz="8" w:space="0" w:color="000000"/>
              <w:right w:val="single" w:sz="8" w:space="0" w:color="auto"/>
            </w:tcBorders>
            <w:vAlign w:val="center"/>
            <w:hideMark/>
          </w:tcPr>
          <w:p w:rsidR="00FF0D03" w:rsidRPr="00FF0D03" w:rsidRDefault="00FF0D03" w:rsidP="00FF0D03">
            <w:pPr>
              <w:spacing w:after="120" w:line="240" w:lineRule="auto"/>
              <w:jc w:val="center"/>
              <w:rPr>
                <w:b/>
                <w:bCs/>
                <w:sz w:val="26"/>
                <w:szCs w:val="26"/>
              </w:rPr>
            </w:pPr>
            <w:r w:rsidRPr="00FF0D03">
              <w:rPr>
                <w:b/>
                <w:bCs/>
                <w:sz w:val="26"/>
                <w:szCs w:val="26"/>
              </w:rPr>
              <w:t>2017</w:t>
            </w:r>
          </w:p>
        </w:tc>
        <w:tc>
          <w:tcPr>
            <w:tcW w:w="1418" w:type="dxa"/>
            <w:tcBorders>
              <w:top w:val="single" w:sz="8" w:space="0" w:color="auto"/>
              <w:left w:val="nil"/>
              <w:bottom w:val="single" w:sz="8" w:space="0" w:color="auto"/>
              <w:right w:val="single" w:sz="8" w:space="0" w:color="auto"/>
            </w:tcBorders>
            <w:vAlign w:val="center"/>
            <w:hideMark/>
          </w:tcPr>
          <w:p w:rsidR="00FF0D03" w:rsidRPr="00FF0D03" w:rsidRDefault="00FF0D03" w:rsidP="00FF0D03">
            <w:pPr>
              <w:spacing w:after="120" w:line="240" w:lineRule="auto"/>
              <w:jc w:val="center"/>
              <w:rPr>
                <w:b/>
                <w:bCs/>
                <w:sz w:val="26"/>
                <w:szCs w:val="26"/>
              </w:rPr>
            </w:pPr>
            <w:r w:rsidRPr="00FF0D03">
              <w:rPr>
                <w:b/>
                <w:bCs/>
                <w:sz w:val="26"/>
                <w:szCs w:val="26"/>
              </w:rPr>
              <w:t>2018</w:t>
            </w:r>
          </w:p>
        </w:tc>
        <w:tc>
          <w:tcPr>
            <w:tcW w:w="1701" w:type="dxa"/>
            <w:tcBorders>
              <w:top w:val="single" w:sz="8" w:space="0" w:color="000000"/>
              <w:left w:val="nil"/>
              <w:bottom w:val="single" w:sz="8" w:space="0" w:color="auto"/>
              <w:right w:val="single" w:sz="8" w:space="0" w:color="000000"/>
            </w:tcBorders>
            <w:vAlign w:val="center"/>
            <w:hideMark/>
          </w:tcPr>
          <w:p w:rsidR="00FF0D03" w:rsidRPr="00FF0D03" w:rsidRDefault="00FF0D03" w:rsidP="00FF0D03">
            <w:pPr>
              <w:spacing w:after="120" w:line="240" w:lineRule="auto"/>
              <w:ind w:firstLine="720"/>
              <w:jc w:val="center"/>
              <w:rPr>
                <w:b/>
                <w:bCs/>
                <w:sz w:val="26"/>
                <w:szCs w:val="26"/>
              </w:rPr>
            </w:pPr>
            <w:r w:rsidRPr="00FF0D03">
              <w:rPr>
                <w:b/>
                <w:bCs/>
                <w:sz w:val="26"/>
                <w:szCs w:val="26"/>
              </w:rPr>
              <w:t>Kopā</w:t>
            </w:r>
          </w:p>
        </w:tc>
      </w:tr>
      <w:tr w:rsidR="00FF0D03" w:rsidRPr="00FF0D03" w:rsidTr="00FF0D03">
        <w:trPr>
          <w:trHeight w:val="645"/>
        </w:trPr>
        <w:tc>
          <w:tcPr>
            <w:tcW w:w="3402" w:type="dxa"/>
            <w:tcBorders>
              <w:top w:val="nil"/>
              <w:left w:val="single" w:sz="8" w:space="0" w:color="000000"/>
              <w:bottom w:val="single" w:sz="8" w:space="0" w:color="auto"/>
              <w:right w:val="single" w:sz="8" w:space="0" w:color="000000"/>
            </w:tcBorders>
            <w:vAlign w:val="center"/>
            <w:hideMark/>
          </w:tcPr>
          <w:p w:rsidR="00FF0D03" w:rsidRPr="00FF0D03" w:rsidRDefault="00FF0D03" w:rsidP="00FF0D03">
            <w:pPr>
              <w:spacing w:after="120" w:line="240" w:lineRule="auto"/>
              <w:jc w:val="both"/>
              <w:rPr>
                <w:sz w:val="26"/>
                <w:szCs w:val="26"/>
              </w:rPr>
            </w:pPr>
            <w:r w:rsidRPr="00FF0D03">
              <w:rPr>
                <w:sz w:val="26"/>
                <w:szCs w:val="26"/>
              </w:rPr>
              <w:t>EK finansējums (avansa maksājuma daļa, 80%)</w:t>
            </w:r>
          </w:p>
        </w:tc>
        <w:tc>
          <w:tcPr>
            <w:tcW w:w="1843" w:type="dxa"/>
            <w:tcBorders>
              <w:top w:val="nil"/>
              <w:left w:val="nil"/>
              <w:bottom w:val="single" w:sz="8" w:space="0" w:color="auto"/>
              <w:right w:val="single" w:sz="8" w:space="0" w:color="auto"/>
            </w:tcBorders>
            <w:vAlign w:val="center"/>
            <w:hideMark/>
          </w:tcPr>
          <w:p w:rsidR="00FF0D03" w:rsidRPr="00FF0D03" w:rsidRDefault="00802AAB" w:rsidP="00FF0D03">
            <w:pPr>
              <w:spacing w:after="120" w:line="240" w:lineRule="auto"/>
              <w:jc w:val="center"/>
              <w:rPr>
                <w:sz w:val="26"/>
                <w:szCs w:val="26"/>
              </w:rPr>
            </w:pPr>
            <w:r>
              <w:rPr>
                <w:sz w:val="26"/>
                <w:szCs w:val="26"/>
              </w:rPr>
              <w:t>89 520</w:t>
            </w:r>
          </w:p>
        </w:tc>
        <w:tc>
          <w:tcPr>
            <w:tcW w:w="1418" w:type="dxa"/>
            <w:tcBorders>
              <w:top w:val="nil"/>
              <w:left w:val="nil"/>
              <w:bottom w:val="single" w:sz="8" w:space="0" w:color="auto"/>
              <w:right w:val="single" w:sz="8" w:space="0" w:color="auto"/>
            </w:tcBorders>
            <w:vAlign w:val="center"/>
            <w:hideMark/>
          </w:tcPr>
          <w:p w:rsidR="00FF0D03" w:rsidRPr="00FF0D03" w:rsidRDefault="00802AAB" w:rsidP="00FF0D03">
            <w:pPr>
              <w:spacing w:after="120" w:line="240" w:lineRule="auto"/>
              <w:jc w:val="center"/>
              <w:rPr>
                <w:sz w:val="26"/>
                <w:szCs w:val="26"/>
              </w:rPr>
            </w:pPr>
            <w:r>
              <w:rPr>
                <w:sz w:val="26"/>
                <w:szCs w:val="26"/>
              </w:rPr>
              <w:t>71 732</w:t>
            </w:r>
          </w:p>
        </w:tc>
        <w:tc>
          <w:tcPr>
            <w:tcW w:w="1701" w:type="dxa"/>
            <w:tcBorders>
              <w:top w:val="nil"/>
              <w:left w:val="nil"/>
              <w:bottom w:val="single" w:sz="8" w:space="0" w:color="auto"/>
              <w:right w:val="single" w:sz="8" w:space="0" w:color="auto"/>
            </w:tcBorders>
            <w:vAlign w:val="center"/>
            <w:hideMark/>
          </w:tcPr>
          <w:p w:rsidR="00FF0D03" w:rsidRPr="00FF0D03" w:rsidRDefault="00802AAB" w:rsidP="00FF0D03">
            <w:pPr>
              <w:spacing w:after="120" w:line="240" w:lineRule="auto"/>
              <w:jc w:val="center"/>
              <w:rPr>
                <w:sz w:val="26"/>
                <w:szCs w:val="26"/>
              </w:rPr>
            </w:pPr>
            <w:r>
              <w:rPr>
                <w:sz w:val="26"/>
                <w:szCs w:val="26"/>
              </w:rPr>
              <w:t>161 252</w:t>
            </w:r>
          </w:p>
        </w:tc>
      </w:tr>
      <w:tr w:rsidR="00FF0D03" w:rsidRPr="00FF0D03" w:rsidTr="00DD6802">
        <w:trPr>
          <w:trHeight w:val="330"/>
        </w:trPr>
        <w:tc>
          <w:tcPr>
            <w:tcW w:w="3402" w:type="dxa"/>
            <w:tcBorders>
              <w:top w:val="nil"/>
              <w:left w:val="single" w:sz="8" w:space="0" w:color="auto"/>
              <w:bottom w:val="single" w:sz="4" w:space="0" w:color="auto"/>
              <w:right w:val="single" w:sz="8" w:space="0" w:color="000000"/>
            </w:tcBorders>
            <w:vAlign w:val="center"/>
            <w:hideMark/>
          </w:tcPr>
          <w:p w:rsidR="00FF0D03" w:rsidRPr="00FF0D03" w:rsidRDefault="00FF0D03" w:rsidP="00FF0D03">
            <w:pPr>
              <w:spacing w:after="120" w:line="240" w:lineRule="auto"/>
              <w:jc w:val="both"/>
              <w:rPr>
                <w:sz w:val="26"/>
                <w:szCs w:val="26"/>
              </w:rPr>
            </w:pPr>
            <w:r w:rsidRPr="00FF0D03">
              <w:rPr>
                <w:sz w:val="26"/>
                <w:szCs w:val="26"/>
              </w:rPr>
              <w:t>Kopā līdzfinansējums 20%</w:t>
            </w:r>
          </w:p>
        </w:tc>
        <w:tc>
          <w:tcPr>
            <w:tcW w:w="1843" w:type="dxa"/>
            <w:tcBorders>
              <w:top w:val="nil"/>
              <w:left w:val="nil"/>
              <w:bottom w:val="single" w:sz="4"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27 976</w:t>
            </w:r>
          </w:p>
        </w:tc>
        <w:tc>
          <w:tcPr>
            <w:tcW w:w="1418" w:type="dxa"/>
            <w:tcBorders>
              <w:top w:val="nil"/>
              <w:left w:val="nil"/>
              <w:bottom w:val="single" w:sz="4"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22 417</w:t>
            </w:r>
          </w:p>
        </w:tc>
        <w:tc>
          <w:tcPr>
            <w:tcW w:w="1701" w:type="dxa"/>
            <w:tcBorders>
              <w:top w:val="nil"/>
              <w:left w:val="nil"/>
              <w:bottom w:val="single" w:sz="4"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50 393</w:t>
            </w:r>
          </w:p>
        </w:tc>
      </w:tr>
      <w:tr w:rsidR="00FF0D03" w:rsidRPr="00FF0D03" w:rsidTr="00DD6802">
        <w:trPr>
          <w:trHeight w:val="960"/>
        </w:trPr>
        <w:tc>
          <w:tcPr>
            <w:tcW w:w="3402" w:type="dxa"/>
            <w:tcBorders>
              <w:top w:val="single" w:sz="4" w:space="0" w:color="auto"/>
              <w:left w:val="single" w:sz="8" w:space="0" w:color="000000"/>
              <w:bottom w:val="single" w:sz="8" w:space="0" w:color="000000"/>
              <w:right w:val="single" w:sz="8" w:space="0" w:color="000000"/>
            </w:tcBorders>
            <w:vAlign w:val="center"/>
            <w:hideMark/>
          </w:tcPr>
          <w:p w:rsidR="00FF0D03" w:rsidRPr="00FF0D03" w:rsidRDefault="00FF0D03" w:rsidP="00FF0D03">
            <w:pPr>
              <w:spacing w:after="120" w:line="240" w:lineRule="auto"/>
              <w:jc w:val="both"/>
              <w:rPr>
                <w:sz w:val="26"/>
                <w:szCs w:val="26"/>
              </w:rPr>
            </w:pPr>
            <w:r w:rsidRPr="00FF0D03">
              <w:rPr>
                <w:sz w:val="26"/>
                <w:szCs w:val="26"/>
              </w:rPr>
              <w:lastRenderedPageBreak/>
              <w:t>Valsts budžeta priekšfinansējums EK līdzfinansējuma gala maksājuma daļai 20% apmērā</w:t>
            </w:r>
          </w:p>
        </w:tc>
        <w:tc>
          <w:tcPr>
            <w:tcW w:w="1843" w:type="dxa"/>
            <w:tcBorders>
              <w:top w:val="single" w:sz="4" w:space="0" w:color="auto"/>
              <w:left w:val="nil"/>
              <w:bottom w:val="single" w:sz="8" w:space="0" w:color="000000"/>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22 380</w:t>
            </w:r>
          </w:p>
        </w:tc>
        <w:tc>
          <w:tcPr>
            <w:tcW w:w="1418" w:type="dxa"/>
            <w:tcBorders>
              <w:top w:val="single" w:sz="4" w:space="0" w:color="auto"/>
              <w:left w:val="nil"/>
              <w:bottom w:val="single" w:sz="8"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17 933</w:t>
            </w:r>
          </w:p>
        </w:tc>
        <w:tc>
          <w:tcPr>
            <w:tcW w:w="1701" w:type="dxa"/>
            <w:tcBorders>
              <w:top w:val="single" w:sz="4" w:space="0" w:color="auto"/>
              <w:left w:val="nil"/>
              <w:bottom w:val="single" w:sz="8" w:space="0" w:color="auto"/>
              <w:right w:val="single" w:sz="8" w:space="0" w:color="000000"/>
            </w:tcBorders>
            <w:vAlign w:val="center"/>
            <w:hideMark/>
          </w:tcPr>
          <w:p w:rsidR="00FF0D03" w:rsidRPr="00FF0D03" w:rsidRDefault="00FF0D03" w:rsidP="00FF0D03">
            <w:pPr>
              <w:spacing w:after="120" w:line="240" w:lineRule="auto"/>
              <w:jc w:val="center"/>
              <w:rPr>
                <w:sz w:val="26"/>
                <w:szCs w:val="26"/>
              </w:rPr>
            </w:pPr>
            <w:r w:rsidRPr="00FF0D03">
              <w:rPr>
                <w:sz w:val="26"/>
                <w:szCs w:val="26"/>
              </w:rPr>
              <w:t>40 313</w:t>
            </w:r>
          </w:p>
        </w:tc>
      </w:tr>
      <w:tr w:rsidR="00FF0D03" w:rsidRPr="00FF0D03" w:rsidTr="00FF0D03">
        <w:trPr>
          <w:trHeight w:val="330"/>
        </w:trPr>
        <w:tc>
          <w:tcPr>
            <w:tcW w:w="3402" w:type="dxa"/>
            <w:tcBorders>
              <w:top w:val="nil"/>
              <w:left w:val="single" w:sz="8" w:space="0" w:color="000000"/>
              <w:bottom w:val="single" w:sz="4" w:space="0" w:color="auto"/>
              <w:right w:val="single" w:sz="8" w:space="0" w:color="000000"/>
            </w:tcBorders>
            <w:vAlign w:val="center"/>
            <w:hideMark/>
          </w:tcPr>
          <w:p w:rsidR="00FF0D03" w:rsidRPr="00FF0D03" w:rsidRDefault="00FF0D03" w:rsidP="00FF0D03">
            <w:pPr>
              <w:spacing w:after="120" w:line="240" w:lineRule="auto"/>
              <w:jc w:val="both"/>
              <w:rPr>
                <w:sz w:val="26"/>
                <w:szCs w:val="26"/>
              </w:rPr>
            </w:pPr>
            <w:r w:rsidRPr="00FF0D03">
              <w:rPr>
                <w:sz w:val="26"/>
                <w:szCs w:val="26"/>
              </w:rPr>
              <w:t>PVN</w:t>
            </w:r>
          </w:p>
        </w:tc>
        <w:tc>
          <w:tcPr>
            <w:tcW w:w="1843" w:type="dxa"/>
            <w:tcBorders>
              <w:top w:val="nil"/>
              <w:left w:val="nil"/>
              <w:bottom w:val="single" w:sz="4"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3 000</w:t>
            </w:r>
          </w:p>
        </w:tc>
        <w:tc>
          <w:tcPr>
            <w:tcW w:w="1418" w:type="dxa"/>
            <w:tcBorders>
              <w:top w:val="nil"/>
              <w:left w:val="nil"/>
              <w:bottom w:val="single" w:sz="4"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1 700</w:t>
            </w:r>
          </w:p>
        </w:tc>
        <w:tc>
          <w:tcPr>
            <w:tcW w:w="1701" w:type="dxa"/>
            <w:tcBorders>
              <w:top w:val="nil"/>
              <w:left w:val="nil"/>
              <w:bottom w:val="single" w:sz="4" w:space="0" w:color="auto"/>
              <w:right w:val="single" w:sz="8" w:space="0" w:color="auto"/>
            </w:tcBorders>
            <w:vAlign w:val="center"/>
            <w:hideMark/>
          </w:tcPr>
          <w:p w:rsidR="00FF0D03" w:rsidRPr="00FF0D03" w:rsidRDefault="00FF0D03" w:rsidP="00FF0D03">
            <w:pPr>
              <w:spacing w:after="120" w:line="240" w:lineRule="auto"/>
              <w:jc w:val="center"/>
              <w:rPr>
                <w:sz w:val="26"/>
                <w:szCs w:val="26"/>
              </w:rPr>
            </w:pPr>
            <w:r w:rsidRPr="00FF0D03">
              <w:rPr>
                <w:sz w:val="26"/>
                <w:szCs w:val="26"/>
              </w:rPr>
              <w:t>4 700</w:t>
            </w:r>
          </w:p>
        </w:tc>
      </w:tr>
      <w:tr w:rsidR="00FF0D03" w:rsidRPr="00FF0D03" w:rsidTr="00FF0D03">
        <w:trPr>
          <w:trHeight w:val="551"/>
        </w:trPr>
        <w:tc>
          <w:tcPr>
            <w:tcW w:w="3402" w:type="dxa"/>
            <w:tcBorders>
              <w:top w:val="single" w:sz="4" w:space="0" w:color="auto"/>
              <w:left w:val="single" w:sz="4" w:space="0" w:color="auto"/>
              <w:bottom w:val="single" w:sz="4" w:space="0" w:color="auto"/>
              <w:right w:val="single" w:sz="4" w:space="0" w:color="auto"/>
            </w:tcBorders>
            <w:vAlign w:val="center"/>
            <w:hideMark/>
          </w:tcPr>
          <w:p w:rsidR="00FF0D03" w:rsidRPr="00FF0D03" w:rsidRDefault="00FF0D03" w:rsidP="00FF0D03">
            <w:pPr>
              <w:spacing w:after="120" w:line="240" w:lineRule="auto"/>
              <w:jc w:val="both"/>
              <w:rPr>
                <w:b/>
                <w:bCs/>
                <w:sz w:val="26"/>
                <w:szCs w:val="26"/>
              </w:rPr>
            </w:pPr>
            <w:r w:rsidRPr="00FF0D03">
              <w:rPr>
                <w:b/>
                <w:bCs/>
                <w:sz w:val="26"/>
                <w:szCs w:val="26"/>
              </w:rPr>
              <w:t>Kopā no valsts budžeta nepieciešamais finansējums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0D03" w:rsidRPr="00FF0D03" w:rsidRDefault="00FF0D03" w:rsidP="00FF0D03">
            <w:pPr>
              <w:spacing w:after="120" w:line="240" w:lineRule="auto"/>
              <w:jc w:val="center"/>
              <w:rPr>
                <w:b/>
                <w:bCs/>
                <w:sz w:val="26"/>
                <w:szCs w:val="26"/>
              </w:rPr>
            </w:pPr>
            <w:r w:rsidRPr="00FF0D03">
              <w:rPr>
                <w:b/>
                <w:bCs/>
                <w:sz w:val="26"/>
                <w:szCs w:val="26"/>
              </w:rPr>
              <w:t>53 356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03" w:rsidRPr="00FF0D03" w:rsidRDefault="00FF0D03" w:rsidP="00FF0D03">
            <w:pPr>
              <w:spacing w:after="120" w:line="240" w:lineRule="auto"/>
              <w:jc w:val="center"/>
              <w:rPr>
                <w:b/>
                <w:bCs/>
                <w:sz w:val="26"/>
                <w:szCs w:val="26"/>
              </w:rPr>
            </w:pPr>
            <w:r w:rsidRPr="00FF0D03">
              <w:rPr>
                <w:b/>
                <w:bCs/>
                <w:sz w:val="26"/>
                <w:szCs w:val="26"/>
              </w:rPr>
              <w:t>42 050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0D03" w:rsidRPr="00FF0D03" w:rsidRDefault="00FF0D03" w:rsidP="00FF0D03">
            <w:pPr>
              <w:spacing w:after="120" w:line="240" w:lineRule="auto"/>
              <w:jc w:val="center"/>
              <w:rPr>
                <w:b/>
                <w:bCs/>
                <w:sz w:val="26"/>
                <w:szCs w:val="26"/>
              </w:rPr>
            </w:pPr>
            <w:r w:rsidRPr="00FF0D03">
              <w:rPr>
                <w:b/>
                <w:bCs/>
                <w:sz w:val="26"/>
                <w:szCs w:val="26"/>
              </w:rPr>
              <w:t>95 406</w:t>
            </w:r>
          </w:p>
        </w:tc>
      </w:tr>
    </w:tbl>
    <w:p w:rsidR="00FF0D03" w:rsidRPr="00FF0D03" w:rsidRDefault="00FF0D03" w:rsidP="00FF0D03">
      <w:pPr>
        <w:spacing w:after="120" w:line="240" w:lineRule="auto"/>
        <w:ind w:firstLine="720"/>
        <w:jc w:val="both"/>
        <w:rPr>
          <w:bCs/>
          <w:sz w:val="26"/>
          <w:szCs w:val="26"/>
        </w:rPr>
      </w:pPr>
    </w:p>
    <w:p w:rsidR="001C4C38" w:rsidRPr="00AE4B96" w:rsidRDefault="001C4C38" w:rsidP="001C4C38">
      <w:pPr>
        <w:spacing w:after="0" w:line="240" w:lineRule="auto"/>
        <w:ind w:firstLine="720"/>
        <w:jc w:val="both"/>
        <w:rPr>
          <w:sz w:val="26"/>
          <w:szCs w:val="26"/>
        </w:rPr>
      </w:pPr>
      <w:r w:rsidRPr="00C74E15">
        <w:rPr>
          <w:sz w:val="26"/>
          <w:szCs w:val="26"/>
        </w:rPr>
        <w:t>Finanšu un procentuālais sadalījums pa izmaksu veidiem ir indikatīvs un var mainīties atkarībā no tā, kad tiks noslēgts līgums ar EK un tiks uzsākta projekta īstenošana. Finansējuma apmērs šobrīd aprēķināts atbilstoši projekta iesniegumam un varētu tikt precizēts un/ vai samazināts, ja EK lūgs precizēt plānoto budžetu.</w:t>
      </w:r>
    </w:p>
    <w:p w:rsidR="00075029" w:rsidRPr="005A7B30" w:rsidRDefault="00075029" w:rsidP="00075029">
      <w:pPr>
        <w:spacing w:after="0" w:line="240" w:lineRule="auto"/>
        <w:ind w:firstLine="720"/>
        <w:jc w:val="both"/>
        <w:rPr>
          <w:sz w:val="26"/>
          <w:szCs w:val="26"/>
        </w:rPr>
      </w:pPr>
      <w:r w:rsidRPr="005A7B30">
        <w:rPr>
          <w:sz w:val="26"/>
          <w:szCs w:val="26"/>
        </w:rPr>
        <w:t>Projekta īstenošana tiks nodrošināta LM pamatbudžeta programmas 73.00.00 „Pārējās ārvalstu finanšu palīdzības līdzfinansētie projekti” apakšprogrammas 73.06.00 „Ārvalstu finanšu palīdzības finansēto projektu īstenošana labklājības nozarē” ietvaros.</w:t>
      </w:r>
    </w:p>
    <w:p w:rsidR="00565251" w:rsidRPr="005A7B30" w:rsidRDefault="00565251" w:rsidP="00565251">
      <w:pPr>
        <w:spacing w:after="0" w:line="240" w:lineRule="auto"/>
        <w:ind w:firstLine="720"/>
        <w:jc w:val="both"/>
        <w:rPr>
          <w:sz w:val="26"/>
          <w:szCs w:val="26"/>
        </w:rPr>
      </w:pPr>
      <w:r w:rsidRPr="005A7B30">
        <w:rPr>
          <w:sz w:val="26"/>
          <w:szCs w:val="26"/>
        </w:rPr>
        <w:t>Pēc projekt</w:t>
      </w:r>
      <w:r w:rsidR="00C74E15" w:rsidRPr="005A7B30">
        <w:rPr>
          <w:sz w:val="26"/>
          <w:szCs w:val="26"/>
        </w:rPr>
        <w:t>a</w:t>
      </w:r>
      <w:r w:rsidRPr="005A7B30">
        <w:rPr>
          <w:sz w:val="26"/>
          <w:szCs w:val="26"/>
        </w:rPr>
        <w:t xml:space="preserve"> pabeigšanas un attiecināmo izmaksu apstiprināšanas </w:t>
      </w:r>
      <w:r w:rsidR="00C74E15" w:rsidRPr="005A7B30">
        <w:rPr>
          <w:sz w:val="26"/>
          <w:szCs w:val="26"/>
        </w:rPr>
        <w:t>E</w:t>
      </w:r>
      <w:r w:rsidR="00937ADC">
        <w:rPr>
          <w:sz w:val="26"/>
          <w:szCs w:val="26"/>
        </w:rPr>
        <w:t>K</w:t>
      </w:r>
      <w:r w:rsidR="00C74E15" w:rsidRPr="005A7B30">
        <w:rPr>
          <w:sz w:val="26"/>
          <w:szCs w:val="26"/>
        </w:rPr>
        <w:t xml:space="preserve"> </w:t>
      </w:r>
      <w:r w:rsidRPr="005A7B30">
        <w:rPr>
          <w:sz w:val="26"/>
          <w:szCs w:val="26"/>
        </w:rPr>
        <w:t>veiks gala maksājumu priekšfinansējuma apjomā, kurš tiks ieskaitīts LM pamatbudžeta izdevumu kontā ieņēmumu klasifikācijas kodā 21.2.0.0. „Ārvalstu finanšu palīdzība atmaksām valsts pamatbudžetam” un LM veiks līdzekļu ieskaitīšanu valsts pamatbudžeta ieņēmumos no koda atbilstoši ekonomiskajām kategorijām 7500 „Atmaksa valsts budžetā par veiktajiem uzturēšanas izdevumiem”.</w:t>
      </w:r>
    </w:p>
    <w:p w:rsidR="00DD6802" w:rsidRDefault="00DD6802" w:rsidP="002863BE">
      <w:pPr>
        <w:tabs>
          <w:tab w:val="left" w:pos="0"/>
        </w:tabs>
        <w:spacing w:after="120" w:line="240" w:lineRule="auto"/>
        <w:ind w:firstLine="720"/>
        <w:jc w:val="both"/>
        <w:rPr>
          <w:b/>
          <w:sz w:val="26"/>
          <w:szCs w:val="26"/>
        </w:rPr>
      </w:pPr>
    </w:p>
    <w:p w:rsidR="002863BE" w:rsidRPr="00242473" w:rsidRDefault="001C4C38" w:rsidP="002863BE">
      <w:pPr>
        <w:tabs>
          <w:tab w:val="left" w:pos="0"/>
        </w:tabs>
        <w:spacing w:after="120" w:line="240" w:lineRule="auto"/>
        <w:ind w:firstLine="720"/>
        <w:jc w:val="both"/>
        <w:rPr>
          <w:b/>
          <w:sz w:val="26"/>
          <w:szCs w:val="26"/>
        </w:rPr>
      </w:pPr>
      <w:r>
        <w:rPr>
          <w:b/>
          <w:sz w:val="26"/>
          <w:szCs w:val="26"/>
        </w:rPr>
        <w:t>4</w:t>
      </w:r>
      <w:r w:rsidR="002863BE" w:rsidRPr="00242473">
        <w:rPr>
          <w:b/>
          <w:sz w:val="26"/>
          <w:szCs w:val="26"/>
        </w:rPr>
        <w:t>. Turpmākā rīcība</w:t>
      </w:r>
    </w:p>
    <w:p w:rsidR="00075029" w:rsidRPr="00E22A8D" w:rsidRDefault="00075029" w:rsidP="00075029">
      <w:pPr>
        <w:tabs>
          <w:tab w:val="left" w:pos="0"/>
        </w:tabs>
        <w:spacing w:after="120" w:line="240" w:lineRule="auto"/>
        <w:ind w:firstLine="720"/>
        <w:jc w:val="both"/>
        <w:rPr>
          <w:sz w:val="26"/>
          <w:szCs w:val="26"/>
        </w:rPr>
      </w:pPr>
      <w:r w:rsidRPr="00E22A8D">
        <w:rPr>
          <w:sz w:val="26"/>
          <w:szCs w:val="26"/>
        </w:rPr>
        <w:t xml:space="preserve">Ņemot vērā, ka dalība starptautiskās sadarbības projektos ir vērtīgs instruments nozares </w:t>
      </w:r>
      <w:r w:rsidRPr="00A96BD9">
        <w:rPr>
          <w:sz w:val="26"/>
          <w:szCs w:val="26"/>
        </w:rPr>
        <w:t xml:space="preserve">politikas pilnveidošanai, labo prakšu apmaiņai, iespējai izmēģināt jaunas iniciatīvas, lai </w:t>
      </w:r>
      <w:r>
        <w:rPr>
          <w:sz w:val="26"/>
          <w:szCs w:val="26"/>
        </w:rPr>
        <w:t>gūtu</w:t>
      </w:r>
      <w:r w:rsidRPr="00A96BD9">
        <w:rPr>
          <w:sz w:val="26"/>
          <w:szCs w:val="26"/>
        </w:rPr>
        <w:t xml:space="preserve"> pārliec</w:t>
      </w:r>
      <w:r>
        <w:rPr>
          <w:sz w:val="26"/>
          <w:szCs w:val="26"/>
        </w:rPr>
        <w:t>ību</w:t>
      </w:r>
      <w:r w:rsidRPr="00A96BD9">
        <w:rPr>
          <w:sz w:val="26"/>
          <w:szCs w:val="26"/>
        </w:rPr>
        <w:t xml:space="preserve"> par to atbilstību </w:t>
      </w:r>
      <w:r>
        <w:rPr>
          <w:sz w:val="26"/>
          <w:szCs w:val="26"/>
        </w:rPr>
        <w:t>nozares</w:t>
      </w:r>
      <w:r w:rsidRPr="00A96BD9">
        <w:rPr>
          <w:sz w:val="26"/>
          <w:szCs w:val="26"/>
        </w:rPr>
        <w:t xml:space="preserve"> politik</w:t>
      </w:r>
      <w:r>
        <w:rPr>
          <w:sz w:val="26"/>
          <w:szCs w:val="26"/>
        </w:rPr>
        <w:t>as</w:t>
      </w:r>
      <w:r w:rsidRPr="00A96BD9">
        <w:rPr>
          <w:sz w:val="26"/>
          <w:szCs w:val="26"/>
        </w:rPr>
        <w:t xml:space="preserve"> uzlabošanai</w:t>
      </w:r>
      <w:r>
        <w:rPr>
          <w:sz w:val="26"/>
          <w:szCs w:val="26"/>
        </w:rPr>
        <w:t xml:space="preserve">, kā arī īstenot pasākumus politikas jomās, kurām </w:t>
      </w:r>
      <w:r w:rsidRPr="00A96BD9">
        <w:rPr>
          <w:sz w:val="26"/>
          <w:szCs w:val="26"/>
        </w:rPr>
        <w:t xml:space="preserve">nav </w:t>
      </w:r>
      <w:r>
        <w:rPr>
          <w:sz w:val="26"/>
          <w:szCs w:val="26"/>
        </w:rPr>
        <w:t xml:space="preserve">noteikta </w:t>
      </w:r>
      <w:r w:rsidRPr="00A96BD9">
        <w:rPr>
          <w:sz w:val="26"/>
          <w:szCs w:val="26"/>
        </w:rPr>
        <w:t xml:space="preserve">valsts budžeta </w:t>
      </w:r>
      <w:r>
        <w:rPr>
          <w:sz w:val="26"/>
          <w:szCs w:val="26"/>
        </w:rPr>
        <w:t>finansēšanas programma</w:t>
      </w:r>
      <w:r w:rsidRPr="00E22A8D">
        <w:rPr>
          <w:sz w:val="26"/>
          <w:szCs w:val="26"/>
        </w:rPr>
        <w:t>, iepriekš minēto projektu īstenošanai nepieciešams</w:t>
      </w:r>
      <w:r w:rsidR="008726B9">
        <w:rPr>
          <w:sz w:val="26"/>
          <w:szCs w:val="26"/>
        </w:rPr>
        <w:t xml:space="preserve"> Ministru kabineta lēmums</w:t>
      </w:r>
      <w:r w:rsidRPr="00E22A8D">
        <w:rPr>
          <w:sz w:val="26"/>
          <w:szCs w:val="26"/>
        </w:rPr>
        <w:t xml:space="preserve">: </w:t>
      </w:r>
    </w:p>
    <w:p w:rsidR="00075029" w:rsidRDefault="00075029" w:rsidP="00075029">
      <w:pPr>
        <w:tabs>
          <w:tab w:val="left" w:pos="0"/>
        </w:tabs>
        <w:spacing w:afterLines="60" w:after="144" w:line="240" w:lineRule="auto"/>
        <w:ind w:firstLine="720"/>
        <w:jc w:val="both"/>
        <w:rPr>
          <w:sz w:val="26"/>
          <w:szCs w:val="26"/>
        </w:rPr>
      </w:pPr>
      <w:r>
        <w:rPr>
          <w:sz w:val="26"/>
          <w:szCs w:val="26"/>
        </w:rPr>
        <w:t xml:space="preserve">1. </w:t>
      </w:r>
      <w:r w:rsidRPr="00E22A8D">
        <w:rPr>
          <w:sz w:val="26"/>
          <w:szCs w:val="26"/>
        </w:rPr>
        <w:t xml:space="preserve">Apstiprināt LM tiesības slēgt līgumu </w:t>
      </w:r>
      <w:r w:rsidRPr="00167721">
        <w:rPr>
          <w:sz w:val="26"/>
          <w:szCs w:val="26"/>
        </w:rPr>
        <w:t>E</w:t>
      </w:r>
      <w:r>
        <w:rPr>
          <w:sz w:val="26"/>
          <w:szCs w:val="26"/>
        </w:rPr>
        <w:t>S</w:t>
      </w:r>
      <w:r w:rsidRPr="00167721">
        <w:rPr>
          <w:sz w:val="26"/>
          <w:szCs w:val="26"/>
        </w:rPr>
        <w:t xml:space="preserve"> programmas „Tiesības, vienlīdzība un pilsonība” 2014.-2020.</w:t>
      </w:r>
      <w:r w:rsidR="00DD6802">
        <w:rPr>
          <w:sz w:val="26"/>
          <w:szCs w:val="26"/>
        </w:rPr>
        <w:t> </w:t>
      </w:r>
      <w:r>
        <w:rPr>
          <w:sz w:val="26"/>
          <w:szCs w:val="26"/>
        </w:rPr>
        <w:t>gadam līdzfinansētā</w:t>
      </w:r>
      <w:r w:rsidRPr="00167721">
        <w:rPr>
          <w:sz w:val="26"/>
          <w:szCs w:val="26"/>
        </w:rPr>
        <w:t xml:space="preserve"> </w:t>
      </w:r>
      <w:r>
        <w:rPr>
          <w:sz w:val="26"/>
          <w:szCs w:val="26"/>
        </w:rPr>
        <w:t>projekta „</w:t>
      </w:r>
      <w:r w:rsidRPr="009D1AFA">
        <w:rPr>
          <w:i/>
          <w:sz w:val="26"/>
          <w:szCs w:val="26"/>
        </w:rPr>
        <w:t xml:space="preserve">Soli tuvāk: </w:t>
      </w:r>
      <w:r w:rsidRPr="00A73710">
        <w:rPr>
          <w:i/>
          <w:iCs/>
          <w:sz w:val="26"/>
          <w:szCs w:val="26"/>
        </w:rPr>
        <w:t>Kopienas vienotā atbilde uz vardarbības pret sievietēm gadījumiem</w:t>
      </w:r>
      <w:r>
        <w:rPr>
          <w:sz w:val="26"/>
          <w:szCs w:val="26"/>
        </w:rPr>
        <w:t xml:space="preserve">” </w:t>
      </w:r>
      <w:r w:rsidRPr="009D1AFA">
        <w:rPr>
          <w:sz w:val="26"/>
          <w:szCs w:val="26"/>
        </w:rPr>
        <w:t>īstenošan</w:t>
      </w:r>
      <w:r w:rsidR="008726B9">
        <w:rPr>
          <w:sz w:val="26"/>
          <w:szCs w:val="26"/>
        </w:rPr>
        <w:t>ai</w:t>
      </w:r>
      <w:r w:rsidRPr="009D1AFA">
        <w:rPr>
          <w:sz w:val="26"/>
          <w:szCs w:val="26"/>
        </w:rPr>
        <w:t xml:space="preserve"> </w:t>
      </w:r>
      <w:r w:rsidRPr="00E22A8D">
        <w:rPr>
          <w:sz w:val="26"/>
          <w:szCs w:val="26"/>
        </w:rPr>
        <w:t>t</w:t>
      </w:r>
      <w:r w:rsidR="001C4C38">
        <w:rPr>
          <w:sz w:val="26"/>
          <w:szCs w:val="26"/>
        </w:rPr>
        <w:t>ā</w:t>
      </w:r>
      <w:r w:rsidRPr="00E22A8D">
        <w:rPr>
          <w:sz w:val="26"/>
          <w:szCs w:val="26"/>
        </w:rPr>
        <w:t xml:space="preserve"> apstiprināšanas gadījumā</w:t>
      </w:r>
      <w:r>
        <w:rPr>
          <w:sz w:val="26"/>
          <w:szCs w:val="26"/>
        </w:rPr>
        <w:t xml:space="preserve">, </w:t>
      </w:r>
      <w:r w:rsidRPr="00E22A8D">
        <w:rPr>
          <w:sz w:val="26"/>
          <w:szCs w:val="26"/>
        </w:rPr>
        <w:t xml:space="preserve">atļaujot </w:t>
      </w:r>
      <w:r w:rsidR="00944D34">
        <w:rPr>
          <w:sz w:val="26"/>
          <w:szCs w:val="26"/>
        </w:rPr>
        <w:t>2017. un 2018.</w:t>
      </w:r>
      <w:r w:rsidR="00DD6802">
        <w:rPr>
          <w:sz w:val="26"/>
          <w:szCs w:val="26"/>
        </w:rPr>
        <w:t> </w:t>
      </w:r>
      <w:r w:rsidR="00944D34">
        <w:rPr>
          <w:sz w:val="26"/>
          <w:szCs w:val="26"/>
        </w:rPr>
        <w:t xml:space="preserve">gadā </w:t>
      </w:r>
      <w:r w:rsidRPr="00E22A8D">
        <w:rPr>
          <w:sz w:val="26"/>
          <w:szCs w:val="26"/>
        </w:rPr>
        <w:t>uzņemties valsts budžeta ilgtermiņa saistības.</w:t>
      </w:r>
    </w:p>
    <w:p w:rsidR="00075029" w:rsidRPr="00167721" w:rsidRDefault="00075029" w:rsidP="00075029">
      <w:pPr>
        <w:tabs>
          <w:tab w:val="left" w:pos="0"/>
        </w:tabs>
        <w:spacing w:afterLines="60" w:after="144" w:line="240" w:lineRule="auto"/>
        <w:ind w:firstLine="720"/>
        <w:jc w:val="both"/>
        <w:rPr>
          <w:sz w:val="26"/>
          <w:szCs w:val="26"/>
        </w:rPr>
      </w:pPr>
      <w:r>
        <w:rPr>
          <w:sz w:val="26"/>
          <w:szCs w:val="26"/>
        </w:rPr>
        <w:t>2</w:t>
      </w:r>
      <w:r w:rsidRPr="00167721">
        <w:rPr>
          <w:sz w:val="26"/>
          <w:szCs w:val="26"/>
        </w:rPr>
        <w:t>. Paredzēt, ka minētaj</w:t>
      </w:r>
      <w:r>
        <w:rPr>
          <w:sz w:val="26"/>
          <w:szCs w:val="26"/>
        </w:rPr>
        <w:t>a</w:t>
      </w:r>
      <w:r w:rsidRPr="00167721">
        <w:rPr>
          <w:sz w:val="26"/>
          <w:szCs w:val="26"/>
        </w:rPr>
        <w:t>m projekt</w:t>
      </w:r>
      <w:r w:rsidR="001C4C38">
        <w:rPr>
          <w:sz w:val="26"/>
          <w:szCs w:val="26"/>
        </w:rPr>
        <w:t>a</w:t>
      </w:r>
      <w:r w:rsidR="008726B9">
        <w:rPr>
          <w:sz w:val="26"/>
          <w:szCs w:val="26"/>
        </w:rPr>
        <w:t>m</w:t>
      </w:r>
      <w:r w:rsidRPr="00167721">
        <w:rPr>
          <w:sz w:val="26"/>
          <w:szCs w:val="26"/>
        </w:rPr>
        <w:t xml:space="preserve"> papildus nepieciešamais finansējums atbilstoši noslēgto granta līgumu nosacījumiem nacionālā līdzfinansējuma, priekšfinansējuma un neattiecināmo izmaksu segšanai tiks nodrošināts, veicot līdzekļu pārdali no 74. resora „Gadskārtējā valsts budžeta izpildes procesā pārdalāmais finansējums” 80.00.00 programmas „Nesadalītais finansējums Eiropas </w:t>
      </w:r>
      <w:r w:rsidRPr="00167721">
        <w:rPr>
          <w:sz w:val="26"/>
          <w:szCs w:val="26"/>
        </w:rPr>
        <w:lastRenderedPageBreak/>
        <w:t>Savienības politiku instrumentu un pārējās ārvalstu finanšu palīdzības projektu un pasākumu īstenošanai”, attiecīgi precizējot valsts budžeta ilgtermiņa saistības.</w:t>
      </w:r>
    </w:p>
    <w:p w:rsidR="00075029" w:rsidRPr="00990966" w:rsidRDefault="00EE51D9" w:rsidP="00EE51D9">
      <w:pPr>
        <w:tabs>
          <w:tab w:val="left" w:pos="0"/>
        </w:tabs>
        <w:spacing w:afterLines="60" w:after="144" w:line="240" w:lineRule="auto"/>
        <w:ind w:firstLine="720"/>
        <w:jc w:val="both"/>
        <w:rPr>
          <w:sz w:val="26"/>
          <w:szCs w:val="26"/>
        </w:rPr>
      </w:pPr>
      <w:r>
        <w:rPr>
          <w:sz w:val="26"/>
          <w:szCs w:val="26"/>
        </w:rPr>
        <w:t>3</w:t>
      </w:r>
      <w:r w:rsidR="00075029">
        <w:rPr>
          <w:sz w:val="26"/>
          <w:szCs w:val="26"/>
        </w:rPr>
        <w:t>.</w:t>
      </w:r>
      <w:r w:rsidR="00075029" w:rsidRPr="00990966">
        <w:rPr>
          <w:sz w:val="26"/>
          <w:szCs w:val="26"/>
        </w:rPr>
        <w:t xml:space="preserve"> Pēc gala maksājuma saņemšanas no programmas LM nodrošināt saņemto līdzekļu ieskaitīšanu (valsts budžeta veiktā priekšfinansējuma apmērā) valsts pamatbudžeta ieņēmumos.  </w:t>
      </w:r>
    </w:p>
    <w:p w:rsidR="00075029" w:rsidRDefault="00075029" w:rsidP="00EE51D9">
      <w:pPr>
        <w:tabs>
          <w:tab w:val="left" w:pos="0"/>
        </w:tabs>
        <w:spacing w:afterLines="60" w:after="144" w:line="240" w:lineRule="auto"/>
        <w:ind w:firstLine="720"/>
        <w:jc w:val="both"/>
        <w:rPr>
          <w:sz w:val="26"/>
          <w:szCs w:val="26"/>
        </w:rPr>
      </w:pPr>
    </w:p>
    <w:p w:rsidR="008E554B" w:rsidRDefault="008E554B" w:rsidP="00614693">
      <w:pPr>
        <w:tabs>
          <w:tab w:val="left" w:pos="6096"/>
        </w:tabs>
        <w:spacing w:after="0" w:line="240" w:lineRule="auto"/>
        <w:ind w:firstLine="720"/>
        <w:rPr>
          <w:sz w:val="26"/>
          <w:szCs w:val="26"/>
        </w:rPr>
      </w:pPr>
    </w:p>
    <w:p w:rsidR="008E554B" w:rsidRDefault="008E554B" w:rsidP="00614693">
      <w:pPr>
        <w:tabs>
          <w:tab w:val="left" w:pos="6096"/>
        </w:tabs>
        <w:spacing w:after="0" w:line="240" w:lineRule="auto"/>
        <w:ind w:firstLine="720"/>
        <w:rPr>
          <w:sz w:val="26"/>
          <w:szCs w:val="26"/>
        </w:rPr>
      </w:pPr>
    </w:p>
    <w:p w:rsidR="008E554B" w:rsidRDefault="008E554B" w:rsidP="00614693">
      <w:pPr>
        <w:tabs>
          <w:tab w:val="left" w:pos="6096"/>
        </w:tabs>
        <w:spacing w:after="0" w:line="240" w:lineRule="auto"/>
        <w:ind w:firstLine="720"/>
        <w:rPr>
          <w:sz w:val="26"/>
          <w:szCs w:val="26"/>
        </w:rPr>
      </w:pPr>
    </w:p>
    <w:p w:rsidR="00614693" w:rsidRPr="001C4C38" w:rsidRDefault="003A58BD" w:rsidP="00614693">
      <w:pPr>
        <w:tabs>
          <w:tab w:val="left" w:pos="6096"/>
        </w:tabs>
        <w:spacing w:after="0" w:line="240" w:lineRule="auto"/>
        <w:ind w:firstLine="720"/>
        <w:rPr>
          <w:sz w:val="26"/>
          <w:szCs w:val="26"/>
        </w:rPr>
      </w:pPr>
      <w:r w:rsidRPr="001C4C38">
        <w:rPr>
          <w:sz w:val="26"/>
          <w:szCs w:val="26"/>
        </w:rPr>
        <w:t>Labklājības ministr</w:t>
      </w:r>
      <w:r w:rsidR="001C4C38" w:rsidRPr="001C4C38">
        <w:rPr>
          <w:sz w:val="26"/>
          <w:szCs w:val="26"/>
        </w:rPr>
        <w:t>s</w:t>
      </w:r>
      <w:r w:rsidR="001C4C38" w:rsidRPr="001C4C38">
        <w:rPr>
          <w:sz w:val="26"/>
          <w:szCs w:val="26"/>
        </w:rPr>
        <w:tab/>
      </w:r>
      <w:r w:rsidR="001C4C38" w:rsidRPr="001C4C38">
        <w:rPr>
          <w:sz w:val="26"/>
          <w:szCs w:val="26"/>
        </w:rPr>
        <w:tab/>
      </w:r>
      <w:r w:rsidR="001C4C38" w:rsidRPr="001C4C38">
        <w:rPr>
          <w:sz w:val="26"/>
          <w:szCs w:val="26"/>
        </w:rPr>
        <w:tab/>
        <w:t>J.Reirs</w:t>
      </w:r>
    </w:p>
    <w:p w:rsidR="005A7A43" w:rsidRDefault="005A7A43" w:rsidP="00461213">
      <w:pPr>
        <w:spacing w:after="0"/>
        <w:jc w:val="both"/>
        <w:rPr>
          <w:iCs/>
          <w:sz w:val="20"/>
          <w:szCs w:val="20"/>
        </w:rPr>
      </w:pPr>
    </w:p>
    <w:p w:rsidR="005A7A43" w:rsidRDefault="005A7A43"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8E554B" w:rsidRDefault="008E554B" w:rsidP="00461213">
      <w:pPr>
        <w:spacing w:after="0"/>
        <w:jc w:val="both"/>
        <w:rPr>
          <w:iCs/>
          <w:sz w:val="20"/>
          <w:szCs w:val="20"/>
        </w:rPr>
      </w:pPr>
    </w:p>
    <w:p w:rsidR="005A7A43" w:rsidRDefault="005A7A43" w:rsidP="00461213">
      <w:pPr>
        <w:spacing w:after="0"/>
        <w:jc w:val="both"/>
        <w:rPr>
          <w:iCs/>
          <w:sz w:val="20"/>
          <w:szCs w:val="20"/>
        </w:rPr>
      </w:pPr>
    </w:p>
    <w:p w:rsidR="008E554B" w:rsidRDefault="008E554B" w:rsidP="00461213">
      <w:pPr>
        <w:spacing w:after="0"/>
        <w:jc w:val="both"/>
        <w:rPr>
          <w:iCs/>
          <w:sz w:val="20"/>
          <w:szCs w:val="20"/>
        </w:rPr>
      </w:pPr>
      <w:r>
        <w:rPr>
          <w:iCs/>
          <w:sz w:val="20"/>
          <w:szCs w:val="20"/>
        </w:rPr>
        <w:t>20.09.2016 14:27</w:t>
      </w:r>
    </w:p>
    <w:p w:rsidR="00EE51D9" w:rsidRDefault="00166E4A" w:rsidP="00461213">
      <w:pPr>
        <w:spacing w:after="0"/>
        <w:jc w:val="both"/>
        <w:rPr>
          <w:iCs/>
          <w:sz w:val="20"/>
          <w:szCs w:val="20"/>
        </w:rPr>
      </w:pPr>
      <w:r>
        <w:rPr>
          <w:iCs/>
          <w:sz w:val="20"/>
          <w:szCs w:val="20"/>
        </w:rPr>
        <w:t>1</w:t>
      </w:r>
      <w:r w:rsidR="00DD6802">
        <w:rPr>
          <w:iCs/>
          <w:sz w:val="20"/>
          <w:szCs w:val="20"/>
        </w:rPr>
        <w:t>920</w:t>
      </w:r>
    </w:p>
    <w:p w:rsidR="00FB2B22" w:rsidRPr="00E22A8D" w:rsidRDefault="006209EE" w:rsidP="00461213">
      <w:pPr>
        <w:spacing w:after="0"/>
        <w:jc w:val="both"/>
        <w:rPr>
          <w:iCs/>
          <w:sz w:val="20"/>
          <w:szCs w:val="20"/>
        </w:rPr>
      </w:pPr>
      <w:r w:rsidRPr="00E22A8D">
        <w:rPr>
          <w:iCs/>
          <w:sz w:val="20"/>
          <w:szCs w:val="20"/>
        </w:rPr>
        <w:t>Elita Aleksandrovska</w:t>
      </w:r>
    </w:p>
    <w:p w:rsidR="00FB2B22" w:rsidRPr="00E22A8D" w:rsidRDefault="003A58BD" w:rsidP="00FB2B22">
      <w:pPr>
        <w:spacing w:after="0"/>
        <w:rPr>
          <w:iCs/>
          <w:sz w:val="20"/>
          <w:szCs w:val="20"/>
        </w:rPr>
      </w:pPr>
      <w:r w:rsidRPr="00E22A8D">
        <w:rPr>
          <w:iCs/>
          <w:sz w:val="20"/>
          <w:szCs w:val="20"/>
        </w:rPr>
        <w:t>Labklājības</w:t>
      </w:r>
      <w:r w:rsidR="00FB2B22" w:rsidRPr="00E22A8D">
        <w:rPr>
          <w:iCs/>
          <w:sz w:val="20"/>
          <w:szCs w:val="20"/>
        </w:rPr>
        <w:t xml:space="preserve"> ministrijas</w:t>
      </w:r>
    </w:p>
    <w:p w:rsidR="00FB2B22" w:rsidRPr="00E22A8D" w:rsidRDefault="00FB2B22" w:rsidP="00FB2B22">
      <w:pPr>
        <w:spacing w:after="0"/>
        <w:rPr>
          <w:iCs/>
          <w:sz w:val="20"/>
          <w:szCs w:val="20"/>
        </w:rPr>
      </w:pPr>
      <w:r w:rsidRPr="00E22A8D">
        <w:rPr>
          <w:iCs/>
          <w:sz w:val="20"/>
          <w:szCs w:val="20"/>
        </w:rPr>
        <w:t>Eiropas Savienības</w:t>
      </w:r>
      <w:r w:rsidR="003A58BD" w:rsidRPr="00E22A8D">
        <w:rPr>
          <w:iCs/>
          <w:sz w:val="20"/>
          <w:szCs w:val="20"/>
        </w:rPr>
        <w:t xml:space="preserve"> Struktūrfondu </w:t>
      </w:r>
      <w:r w:rsidRPr="00E22A8D">
        <w:rPr>
          <w:iCs/>
          <w:sz w:val="20"/>
          <w:szCs w:val="20"/>
        </w:rPr>
        <w:t>departamenta</w:t>
      </w:r>
    </w:p>
    <w:p w:rsidR="00FB2B22" w:rsidRPr="00E22A8D" w:rsidRDefault="004A4196" w:rsidP="00FB2B22">
      <w:pPr>
        <w:spacing w:after="0"/>
        <w:rPr>
          <w:iCs/>
          <w:sz w:val="20"/>
          <w:szCs w:val="20"/>
        </w:rPr>
      </w:pPr>
      <w:r w:rsidRPr="00E22A8D">
        <w:rPr>
          <w:iCs/>
          <w:sz w:val="20"/>
          <w:szCs w:val="20"/>
        </w:rPr>
        <w:t>v</w:t>
      </w:r>
      <w:r w:rsidR="003A58BD" w:rsidRPr="00E22A8D">
        <w:rPr>
          <w:iCs/>
          <w:sz w:val="20"/>
          <w:szCs w:val="20"/>
        </w:rPr>
        <w:t>ecākā referente</w:t>
      </w:r>
    </w:p>
    <w:p w:rsidR="00FB2B22" w:rsidRPr="00E22A8D" w:rsidRDefault="003A58BD" w:rsidP="00FB2B22">
      <w:pPr>
        <w:spacing w:after="0"/>
        <w:rPr>
          <w:sz w:val="20"/>
          <w:szCs w:val="20"/>
        </w:rPr>
      </w:pPr>
      <w:r w:rsidRPr="00E22A8D">
        <w:rPr>
          <w:sz w:val="20"/>
          <w:szCs w:val="20"/>
        </w:rPr>
        <w:t xml:space="preserve">Tālr.: </w:t>
      </w:r>
      <w:r w:rsidR="00EE6733">
        <w:rPr>
          <w:sz w:val="20"/>
          <w:szCs w:val="20"/>
        </w:rPr>
        <w:t>67782957</w:t>
      </w:r>
    </w:p>
    <w:sectPr w:rsidR="00FB2B22" w:rsidRPr="00E22A8D" w:rsidSect="00DD6802">
      <w:headerReference w:type="default" r:id="rId10"/>
      <w:footerReference w:type="default" r:id="rId11"/>
      <w:footerReference w:type="first" r:id="rId12"/>
      <w:pgSz w:w="11906" w:h="16838" w:code="9"/>
      <w:pgMar w:top="1418" w:right="1418" w:bottom="1134" w:left="175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73" w:rsidRDefault="005B1D73">
      <w:r>
        <w:separator/>
      </w:r>
    </w:p>
  </w:endnote>
  <w:endnote w:type="continuationSeparator" w:id="0">
    <w:p w:rsidR="005B1D73" w:rsidRDefault="005B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6A" w:rsidRDefault="005F776A" w:rsidP="00EE02AD">
    <w:pPr>
      <w:pStyle w:val="Footer"/>
      <w:jc w:val="both"/>
      <w:rPr>
        <w:sz w:val="20"/>
        <w:szCs w:val="20"/>
      </w:rPr>
    </w:pPr>
  </w:p>
  <w:p w:rsidR="00EE51D9" w:rsidRPr="00EE51D9" w:rsidRDefault="00EE51D9" w:rsidP="00EE02AD">
    <w:pPr>
      <w:pStyle w:val="Footer"/>
      <w:jc w:val="both"/>
      <w:rPr>
        <w:sz w:val="20"/>
        <w:szCs w:val="20"/>
      </w:rPr>
    </w:pPr>
    <w:r w:rsidRPr="00EE51D9">
      <w:rPr>
        <w:sz w:val="20"/>
        <w:szCs w:val="20"/>
      </w:rPr>
      <w:t>LMzino_</w:t>
    </w:r>
    <w:r w:rsidR="008E554B">
      <w:rPr>
        <w:sz w:val="20"/>
        <w:szCs w:val="20"/>
      </w:rPr>
      <w:t>20</w:t>
    </w:r>
    <w:r w:rsidRPr="00EE51D9">
      <w:rPr>
        <w:sz w:val="20"/>
        <w:szCs w:val="20"/>
      </w:rPr>
      <w:t>0</w:t>
    </w:r>
    <w:r w:rsidR="00DD6802">
      <w:rPr>
        <w:sz w:val="20"/>
        <w:szCs w:val="20"/>
      </w:rPr>
      <w:t>9</w:t>
    </w:r>
    <w:r w:rsidRPr="00EE51D9">
      <w:rPr>
        <w:sz w:val="20"/>
        <w:szCs w:val="20"/>
      </w:rPr>
      <w:t>16; Informatīvais ziņojums „Par valsts budžeta saistību uzņemšanos Eiropas Savienības programmas „Tiesības, vienlīdzība un pilsonība” 2014.-2020.</w:t>
    </w:r>
    <w:r w:rsidR="00185E03">
      <w:rPr>
        <w:sz w:val="20"/>
        <w:szCs w:val="20"/>
      </w:rPr>
      <w:t> </w:t>
    </w:r>
    <w:r w:rsidRPr="00EE51D9">
      <w:rPr>
        <w:sz w:val="20"/>
        <w:szCs w:val="20"/>
      </w:rPr>
      <w:t>gadam līdzfinansētā projekta īstenošanai”</w:t>
    </w:r>
  </w:p>
  <w:p w:rsidR="00550A62" w:rsidRPr="00EE51D9" w:rsidRDefault="00550A62" w:rsidP="00EE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62" w:rsidRPr="00497962" w:rsidRDefault="00550A62" w:rsidP="00350E29">
    <w:pPr>
      <w:pStyle w:val="Footer"/>
      <w:jc w:val="both"/>
      <w:rPr>
        <w:sz w:val="20"/>
        <w:szCs w:val="20"/>
      </w:rPr>
    </w:pPr>
    <w:r>
      <w:rPr>
        <w:sz w:val="20"/>
        <w:szCs w:val="20"/>
      </w:rPr>
      <w:t>LMzino_</w:t>
    </w:r>
    <w:r w:rsidR="008E554B">
      <w:rPr>
        <w:sz w:val="20"/>
        <w:szCs w:val="20"/>
      </w:rPr>
      <w:t>200</w:t>
    </w:r>
    <w:r w:rsidR="00DD6802">
      <w:rPr>
        <w:sz w:val="20"/>
        <w:szCs w:val="20"/>
      </w:rPr>
      <w:t>9</w:t>
    </w:r>
    <w:r w:rsidR="00EE51D9">
      <w:rPr>
        <w:sz w:val="20"/>
        <w:szCs w:val="20"/>
      </w:rPr>
      <w:t>16</w:t>
    </w:r>
    <w:r>
      <w:rPr>
        <w:sz w:val="20"/>
        <w:szCs w:val="20"/>
      </w:rPr>
      <w:t>; Informatīvais ziņojums</w:t>
    </w:r>
    <w:r w:rsidRPr="00181729">
      <w:rPr>
        <w:sz w:val="20"/>
        <w:szCs w:val="20"/>
      </w:rPr>
      <w:t xml:space="preserve"> </w:t>
    </w:r>
    <w:r w:rsidRPr="00497962">
      <w:rPr>
        <w:sz w:val="20"/>
        <w:szCs w:val="20"/>
      </w:rPr>
      <w:t>„</w:t>
    </w:r>
    <w:r w:rsidR="00EE51D9" w:rsidRPr="00EE51D9">
      <w:rPr>
        <w:sz w:val="20"/>
        <w:szCs w:val="20"/>
      </w:rPr>
      <w:t>Par valsts budžeta saistību uzņemšanos Eiropas Savienības programmas „Tiesības, vienlīdzība un pilsonība” 2014.-2020.</w:t>
    </w:r>
    <w:r w:rsidR="00185E03">
      <w:rPr>
        <w:sz w:val="20"/>
        <w:szCs w:val="20"/>
      </w:rPr>
      <w:t> </w:t>
    </w:r>
    <w:r w:rsidR="00EE51D9" w:rsidRPr="00EE51D9">
      <w:rPr>
        <w:sz w:val="20"/>
        <w:szCs w:val="20"/>
      </w:rPr>
      <w:t>gadam</w:t>
    </w:r>
    <w:r w:rsidR="00C77FB3" w:rsidRPr="00C77FB3">
      <w:rPr>
        <w:sz w:val="20"/>
        <w:szCs w:val="20"/>
      </w:rPr>
      <w:t xml:space="preserve"> līdzfinansētā projekta īstenošanai</w:t>
    </w:r>
    <w:r w:rsidRPr="0049796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73" w:rsidRDefault="005B1D73">
      <w:r>
        <w:separator/>
      </w:r>
    </w:p>
  </w:footnote>
  <w:footnote w:type="continuationSeparator" w:id="0">
    <w:p w:rsidR="005B1D73" w:rsidRDefault="005B1D73">
      <w:r>
        <w:continuationSeparator/>
      </w:r>
    </w:p>
  </w:footnote>
  <w:footnote w:id="1">
    <w:p w:rsidR="00431885" w:rsidRDefault="00431885" w:rsidP="001C5142">
      <w:pPr>
        <w:pStyle w:val="FootnoteText"/>
        <w:jc w:val="both"/>
      </w:pPr>
      <w:r>
        <w:rPr>
          <w:rStyle w:val="FootnoteReference"/>
          <w:rFonts w:eastAsia="Calibri"/>
        </w:rPr>
        <w:footnoteRef/>
      </w:r>
      <w:r>
        <w:t xml:space="preserve"> </w:t>
      </w:r>
      <w:r w:rsidRPr="00203A52">
        <w:t>Ministru kabineta 2010.</w:t>
      </w:r>
      <w:r>
        <w:t xml:space="preserve"> </w:t>
      </w:r>
      <w:r w:rsidRPr="00203A52">
        <w:t>gada 18.</w:t>
      </w:r>
      <w:r>
        <w:t xml:space="preserve"> </w:t>
      </w:r>
      <w:r w:rsidRPr="00203A52">
        <w:t>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w:t>
      </w:r>
      <w:r>
        <w:t xml:space="preserve">; </w:t>
      </w:r>
      <w:r w:rsidRPr="00EA4C68">
        <w:t>"Likums</w:t>
      </w:r>
      <w:r>
        <w:t xml:space="preserve"> par budžetu un finanšu vadību" </w:t>
      </w:r>
      <w:r w:rsidRPr="00203A52">
        <w:t>24</w:t>
      </w:r>
      <w:r>
        <w:t>. panta trešā daļa.</w:t>
      </w:r>
    </w:p>
  </w:footnote>
  <w:footnote w:id="2">
    <w:p w:rsidR="00075029" w:rsidRDefault="00075029" w:rsidP="00075029">
      <w:pPr>
        <w:pStyle w:val="FootnoteText"/>
      </w:pPr>
      <w:r>
        <w:rPr>
          <w:rStyle w:val="FootnoteReference"/>
        </w:rPr>
        <w:footnoteRef/>
      </w:r>
      <w:r>
        <w:t xml:space="preserve"> </w:t>
      </w:r>
      <w:proofErr w:type="spellStart"/>
      <w:r w:rsidRPr="0006172C">
        <w:t>European</w:t>
      </w:r>
      <w:proofErr w:type="spellEnd"/>
      <w:r w:rsidRPr="0006172C">
        <w:t xml:space="preserve"> </w:t>
      </w:r>
      <w:proofErr w:type="spellStart"/>
      <w:r w:rsidRPr="0006172C">
        <w:t>Agency</w:t>
      </w:r>
      <w:proofErr w:type="spellEnd"/>
      <w:r w:rsidRPr="0006172C">
        <w:t xml:space="preserve"> </w:t>
      </w:r>
      <w:proofErr w:type="spellStart"/>
      <w:r w:rsidRPr="0006172C">
        <w:t>for</w:t>
      </w:r>
      <w:proofErr w:type="spellEnd"/>
      <w:r w:rsidRPr="0006172C">
        <w:t xml:space="preserve"> </w:t>
      </w:r>
      <w:proofErr w:type="spellStart"/>
      <w:r w:rsidRPr="0006172C">
        <w:t>Fundamental</w:t>
      </w:r>
      <w:proofErr w:type="spellEnd"/>
      <w:r w:rsidRPr="0006172C">
        <w:t xml:space="preserve"> </w:t>
      </w:r>
      <w:proofErr w:type="spellStart"/>
      <w:r w:rsidRPr="0006172C">
        <w:t>Rights</w:t>
      </w:r>
      <w:proofErr w:type="spellEnd"/>
      <w:r w:rsidRPr="0006172C">
        <w:t xml:space="preserve">. </w:t>
      </w:r>
      <w:proofErr w:type="spellStart"/>
      <w:r w:rsidRPr="0006172C">
        <w:rPr>
          <w:i/>
        </w:rPr>
        <w:t>Victims</w:t>
      </w:r>
      <w:proofErr w:type="spellEnd"/>
      <w:r w:rsidRPr="0006172C">
        <w:rPr>
          <w:i/>
        </w:rPr>
        <w:t xml:space="preserve"> </w:t>
      </w:r>
      <w:proofErr w:type="spellStart"/>
      <w:r w:rsidRPr="0006172C">
        <w:rPr>
          <w:i/>
        </w:rPr>
        <w:t>of</w:t>
      </w:r>
      <w:proofErr w:type="spellEnd"/>
      <w:r w:rsidRPr="0006172C">
        <w:rPr>
          <w:i/>
        </w:rPr>
        <w:t xml:space="preserve"> </w:t>
      </w:r>
      <w:proofErr w:type="spellStart"/>
      <w:r w:rsidRPr="0006172C">
        <w:rPr>
          <w:i/>
        </w:rPr>
        <w:t>crime</w:t>
      </w:r>
      <w:proofErr w:type="spellEnd"/>
      <w:r w:rsidRPr="0006172C">
        <w:rPr>
          <w:i/>
        </w:rPr>
        <w:t xml:space="preserve"> </w:t>
      </w:r>
      <w:proofErr w:type="spellStart"/>
      <w:r w:rsidRPr="0006172C">
        <w:rPr>
          <w:i/>
        </w:rPr>
        <w:t>in</w:t>
      </w:r>
      <w:proofErr w:type="spellEnd"/>
      <w:r w:rsidRPr="0006172C">
        <w:rPr>
          <w:i/>
        </w:rPr>
        <w:t xml:space="preserve"> </w:t>
      </w:r>
      <w:proofErr w:type="spellStart"/>
      <w:r w:rsidRPr="0006172C">
        <w:rPr>
          <w:i/>
        </w:rPr>
        <w:t>the</w:t>
      </w:r>
      <w:proofErr w:type="spellEnd"/>
      <w:r w:rsidRPr="0006172C">
        <w:rPr>
          <w:i/>
        </w:rPr>
        <w:t xml:space="preserve"> EU: </w:t>
      </w:r>
      <w:proofErr w:type="spellStart"/>
      <w:r w:rsidRPr="0006172C">
        <w:rPr>
          <w:i/>
        </w:rPr>
        <w:t>the</w:t>
      </w:r>
      <w:proofErr w:type="spellEnd"/>
      <w:r w:rsidRPr="0006172C">
        <w:rPr>
          <w:i/>
        </w:rPr>
        <w:t xml:space="preserve"> </w:t>
      </w:r>
      <w:proofErr w:type="spellStart"/>
      <w:r w:rsidRPr="0006172C">
        <w:rPr>
          <w:i/>
        </w:rPr>
        <w:t>extent</w:t>
      </w:r>
      <w:proofErr w:type="spellEnd"/>
      <w:r w:rsidRPr="0006172C">
        <w:rPr>
          <w:i/>
        </w:rPr>
        <w:t xml:space="preserve"> </w:t>
      </w:r>
      <w:proofErr w:type="spellStart"/>
      <w:r w:rsidRPr="0006172C">
        <w:rPr>
          <w:i/>
        </w:rPr>
        <w:t>and</w:t>
      </w:r>
      <w:proofErr w:type="spellEnd"/>
      <w:r w:rsidRPr="0006172C">
        <w:rPr>
          <w:i/>
        </w:rPr>
        <w:t xml:space="preserve"> </w:t>
      </w:r>
      <w:proofErr w:type="spellStart"/>
      <w:r w:rsidRPr="0006172C">
        <w:rPr>
          <w:i/>
        </w:rPr>
        <w:t>nature</w:t>
      </w:r>
      <w:proofErr w:type="spellEnd"/>
      <w:r w:rsidRPr="0006172C">
        <w:rPr>
          <w:i/>
        </w:rPr>
        <w:t xml:space="preserve"> </w:t>
      </w:r>
      <w:proofErr w:type="spellStart"/>
      <w:r w:rsidRPr="0006172C">
        <w:rPr>
          <w:i/>
        </w:rPr>
        <w:t>of</w:t>
      </w:r>
      <w:proofErr w:type="spellEnd"/>
      <w:r w:rsidRPr="0006172C">
        <w:rPr>
          <w:i/>
        </w:rPr>
        <w:t xml:space="preserve"> </w:t>
      </w:r>
      <w:proofErr w:type="spellStart"/>
      <w:r w:rsidRPr="0006172C">
        <w:rPr>
          <w:i/>
        </w:rPr>
        <w:t>support</w:t>
      </w:r>
      <w:proofErr w:type="spellEnd"/>
      <w:r w:rsidRPr="0006172C">
        <w:rPr>
          <w:i/>
        </w:rPr>
        <w:t xml:space="preserve"> </w:t>
      </w:r>
      <w:proofErr w:type="spellStart"/>
      <w:r w:rsidRPr="0006172C">
        <w:rPr>
          <w:i/>
        </w:rPr>
        <w:t>for</w:t>
      </w:r>
      <w:proofErr w:type="spellEnd"/>
      <w:r w:rsidRPr="0006172C">
        <w:rPr>
          <w:i/>
        </w:rPr>
        <w:t xml:space="preserve"> </w:t>
      </w:r>
      <w:proofErr w:type="spellStart"/>
      <w:r w:rsidRPr="0006172C">
        <w:rPr>
          <w:i/>
        </w:rPr>
        <w:t>victims</w:t>
      </w:r>
      <w:proofErr w:type="spellEnd"/>
      <w:r w:rsidRPr="0006172C">
        <w:rPr>
          <w:i/>
        </w:rPr>
        <w:t>.</w:t>
      </w:r>
      <w:r w:rsidRPr="0006172C">
        <w:t xml:space="preserve"> Pieejams: </w:t>
      </w:r>
      <w:hyperlink r:id="rId1" w:history="1">
        <w:r w:rsidRPr="0006172C">
          <w:rPr>
            <w:rStyle w:val="Hyperlink"/>
          </w:rPr>
          <w:t>http://fra.europa.eu/sites/default/files/fra-2015-victims-crime-eu-support_en_0.pdf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62" w:rsidRDefault="00550A62">
    <w:pPr>
      <w:pStyle w:val="Header"/>
      <w:jc w:val="center"/>
    </w:pPr>
    <w:r>
      <w:fldChar w:fldCharType="begin"/>
    </w:r>
    <w:r>
      <w:instrText xml:space="preserve"> PAGE   \* MERGEFORMAT </w:instrText>
    </w:r>
    <w:r>
      <w:fldChar w:fldCharType="separate"/>
    </w:r>
    <w:r w:rsidR="0045783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4FC"/>
    <w:multiLevelType w:val="hybridMultilevel"/>
    <w:tmpl w:val="7E6A2DB4"/>
    <w:lvl w:ilvl="0" w:tplc="11261BF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FE3592C"/>
    <w:multiLevelType w:val="multilevel"/>
    <w:tmpl w:val="6664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5" w:hanging="7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B7C95"/>
    <w:multiLevelType w:val="hybridMultilevel"/>
    <w:tmpl w:val="68BECA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C64B04"/>
    <w:multiLevelType w:val="multilevel"/>
    <w:tmpl w:val="D0C83F1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i/>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4">
    <w:nsid w:val="6EB314F4"/>
    <w:multiLevelType w:val="hybridMultilevel"/>
    <w:tmpl w:val="24424D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2"/>
    <w:rsid w:val="000003D0"/>
    <w:rsid w:val="00004246"/>
    <w:rsid w:val="00006BDE"/>
    <w:rsid w:val="000100A5"/>
    <w:rsid w:val="000101F9"/>
    <w:rsid w:val="00014D1C"/>
    <w:rsid w:val="00016060"/>
    <w:rsid w:val="00017D5E"/>
    <w:rsid w:val="00022952"/>
    <w:rsid w:val="00024509"/>
    <w:rsid w:val="00030458"/>
    <w:rsid w:val="00032217"/>
    <w:rsid w:val="000410B7"/>
    <w:rsid w:val="00043277"/>
    <w:rsid w:val="000468DE"/>
    <w:rsid w:val="00050319"/>
    <w:rsid w:val="0005359C"/>
    <w:rsid w:val="000540A3"/>
    <w:rsid w:val="00054681"/>
    <w:rsid w:val="0005690B"/>
    <w:rsid w:val="00057902"/>
    <w:rsid w:val="0006172C"/>
    <w:rsid w:val="00062132"/>
    <w:rsid w:val="00063F61"/>
    <w:rsid w:val="000659AE"/>
    <w:rsid w:val="000672EA"/>
    <w:rsid w:val="000703BE"/>
    <w:rsid w:val="0007192C"/>
    <w:rsid w:val="00071CD7"/>
    <w:rsid w:val="000744F4"/>
    <w:rsid w:val="00074657"/>
    <w:rsid w:val="00074936"/>
    <w:rsid w:val="00075029"/>
    <w:rsid w:val="000766B0"/>
    <w:rsid w:val="000775EA"/>
    <w:rsid w:val="00081297"/>
    <w:rsid w:val="000816BE"/>
    <w:rsid w:val="00084227"/>
    <w:rsid w:val="00092A4C"/>
    <w:rsid w:val="00096FC9"/>
    <w:rsid w:val="00096FEB"/>
    <w:rsid w:val="000A0926"/>
    <w:rsid w:val="000A2630"/>
    <w:rsid w:val="000A3594"/>
    <w:rsid w:val="000A40D1"/>
    <w:rsid w:val="000A4272"/>
    <w:rsid w:val="000A6591"/>
    <w:rsid w:val="000A7206"/>
    <w:rsid w:val="000B035C"/>
    <w:rsid w:val="000B2C82"/>
    <w:rsid w:val="000B366A"/>
    <w:rsid w:val="000B4C8A"/>
    <w:rsid w:val="000B6763"/>
    <w:rsid w:val="000C4533"/>
    <w:rsid w:val="000C470B"/>
    <w:rsid w:val="000C489C"/>
    <w:rsid w:val="000C6E1F"/>
    <w:rsid w:val="000C72F9"/>
    <w:rsid w:val="000D0094"/>
    <w:rsid w:val="000D45E3"/>
    <w:rsid w:val="000D522A"/>
    <w:rsid w:val="000D72E3"/>
    <w:rsid w:val="000E104C"/>
    <w:rsid w:val="000E4713"/>
    <w:rsid w:val="000E52BA"/>
    <w:rsid w:val="000E6314"/>
    <w:rsid w:val="000F0EC8"/>
    <w:rsid w:val="000F3667"/>
    <w:rsid w:val="000F530D"/>
    <w:rsid w:val="000F5E1F"/>
    <w:rsid w:val="000F65B0"/>
    <w:rsid w:val="000F7EFC"/>
    <w:rsid w:val="00100F58"/>
    <w:rsid w:val="0010248A"/>
    <w:rsid w:val="0010390D"/>
    <w:rsid w:val="00104EE9"/>
    <w:rsid w:val="0011177E"/>
    <w:rsid w:val="001117F3"/>
    <w:rsid w:val="00112A71"/>
    <w:rsid w:val="00113BCE"/>
    <w:rsid w:val="0011403E"/>
    <w:rsid w:val="00120FDC"/>
    <w:rsid w:val="00121138"/>
    <w:rsid w:val="001214D8"/>
    <w:rsid w:val="001228C2"/>
    <w:rsid w:val="00124471"/>
    <w:rsid w:val="00124EE2"/>
    <w:rsid w:val="0012578F"/>
    <w:rsid w:val="00126463"/>
    <w:rsid w:val="00126C42"/>
    <w:rsid w:val="00130C8F"/>
    <w:rsid w:val="00130CD7"/>
    <w:rsid w:val="00131327"/>
    <w:rsid w:val="001340DF"/>
    <w:rsid w:val="00136111"/>
    <w:rsid w:val="001408A0"/>
    <w:rsid w:val="00140A37"/>
    <w:rsid w:val="001421DB"/>
    <w:rsid w:val="00142B84"/>
    <w:rsid w:val="00142C49"/>
    <w:rsid w:val="0015101A"/>
    <w:rsid w:val="00151873"/>
    <w:rsid w:val="001528C5"/>
    <w:rsid w:val="001541DA"/>
    <w:rsid w:val="00155736"/>
    <w:rsid w:val="00156BB9"/>
    <w:rsid w:val="001645CE"/>
    <w:rsid w:val="00166C4C"/>
    <w:rsid w:val="00166E4A"/>
    <w:rsid w:val="0016734C"/>
    <w:rsid w:val="00167480"/>
    <w:rsid w:val="00167721"/>
    <w:rsid w:val="0016776B"/>
    <w:rsid w:val="00174503"/>
    <w:rsid w:val="00174742"/>
    <w:rsid w:val="001814F7"/>
    <w:rsid w:val="00181E29"/>
    <w:rsid w:val="00182C39"/>
    <w:rsid w:val="00185E03"/>
    <w:rsid w:val="001900AA"/>
    <w:rsid w:val="001920ED"/>
    <w:rsid w:val="00194499"/>
    <w:rsid w:val="001950D3"/>
    <w:rsid w:val="00196C27"/>
    <w:rsid w:val="001A015C"/>
    <w:rsid w:val="001A3ED5"/>
    <w:rsid w:val="001A6213"/>
    <w:rsid w:val="001A6F37"/>
    <w:rsid w:val="001B2126"/>
    <w:rsid w:val="001B53BF"/>
    <w:rsid w:val="001B6F54"/>
    <w:rsid w:val="001B7E2E"/>
    <w:rsid w:val="001C1533"/>
    <w:rsid w:val="001C30B0"/>
    <w:rsid w:val="001C4C38"/>
    <w:rsid w:val="001C5142"/>
    <w:rsid w:val="001C5EB2"/>
    <w:rsid w:val="001D1825"/>
    <w:rsid w:val="001D1C6D"/>
    <w:rsid w:val="001D2717"/>
    <w:rsid w:val="001E6416"/>
    <w:rsid w:val="001E7064"/>
    <w:rsid w:val="001F3500"/>
    <w:rsid w:val="001F701E"/>
    <w:rsid w:val="00202734"/>
    <w:rsid w:val="00205C99"/>
    <w:rsid w:val="002071EE"/>
    <w:rsid w:val="0021237D"/>
    <w:rsid w:val="00213440"/>
    <w:rsid w:val="002143A5"/>
    <w:rsid w:val="0021654C"/>
    <w:rsid w:val="0021656B"/>
    <w:rsid w:val="002202B1"/>
    <w:rsid w:val="00224BBF"/>
    <w:rsid w:val="002265AF"/>
    <w:rsid w:val="00231AF1"/>
    <w:rsid w:val="00233662"/>
    <w:rsid w:val="00234847"/>
    <w:rsid w:val="00235DF6"/>
    <w:rsid w:val="00237A09"/>
    <w:rsid w:val="002404FD"/>
    <w:rsid w:val="00241B35"/>
    <w:rsid w:val="00242473"/>
    <w:rsid w:val="0024270A"/>
    <w:rsid w:val="002437D9"/>
    <w:rsid w:val="0024734F"/>
    <w:rsid w:val="002504F3"/>
    <w:rsid w:val="00250FC7"/>
    <w:rsid w:val="00252A46"/>
    <w:rsid w:val="00254910"/>
    <w:rsid w:val="002550BD"/>
    <w:rsid w:val="00255460"/>
    <w:rsid w:val="002567AE"/>
    <w:rsid w:val="002618AD"/>
    <w:rsid w:val="002631C3"/>
    <w:rsid w:val="00263558"/>
    <w:rsid w:val="00267736"/>
    <w:rsid w:val="0027018F"/>
    <w:rsid w:val="00271C5B"/>
    <w:rsid w:val="00273D8C"/>
    <w:rsid w:val="00275227"/>
    <w:rsid w:val="002759A0"/>
    <w:rsid w:val="00276799"/>
    <w:rsid w:val="002863BE"/>
    <w:rsid w:val="00287652"/>
    <w:rsid w:val="00287843"/>
    <w:rsid w:val="00291450"/>
    <w:rsid w:val="00291A9B"/>
    <w:rsid w:val="0029297C"/>
    <w:rsid w:val="00293085"/>
    <w:rsid w:val="00293885"/>
    <w:rsid w:val="00293E38"/>
    <w:rsid w:val="00296896"/>
    <w:rsid w:val="00296A96"/>
    <w:rsid w:val="002A3E77"/>
    <w:rsid w:val="002A4E8A"/>
    <w:rsid w:val="002A5962"/>
    <w:rsid w:val="002A649A"/>
    <w:rsid w:val="002B13BE"/>
    <w:rsid w:val="002B1E41"/>
    <w:rsid w:val="002B316F"/>
    <w:rsid w:val="002B6808"/>
    <w:rsid w:val="002B6ADE"/>
    <w:rsid w:val="002B6B7D"/>
    <w:rsid w:val="002B6CEE"/>
    <w:rsid w:val="002C0A73"/>
    <w:rsid w:val="002C436C"/>
    <w:rsid w:val="002C76ED"/>
    <w:rsid w:val="002D032E"/>
    <w:rsid w:val="002D106B"/>
    <w:rsid w:val="002D1988"/>
    <w:rsid w:val="002D2064"/>
    <w:rsid w:val="002D2790"/>
    <w:rsid w:val="002D4C8E"/>
    <w:rsid w:val="002D53BF"/>
    <w:rsid w:val="002F2BAB"/>
    <w:rsid w:val="002F434B"/>
    <w:rsid w:val="002F495E"/>
    <w:rsid w:val="002F5A69"/>
    <w:rsid w:val="002F605B"/>
    <w:rsid w:val="002F63F9"/>
    <w:rsid w:val="002F6E31"/>
    <w:rsid w:val="00304439"/>
    <w:rsid w:val="0030455F"/>
    <w:rsid w:val="00304900"/>
    <w:rsid w:val="0030565C"/>
    <w:rsid w:val="00305665"/>
    <w:rsid w:val="00305E80"/>
    <w:rsid w:val="00317EF3"/>
    <w:rsid w:val="00321B10"/>
    <w:rsid w:val="00327622"/>
    <w:rsid w:val="00327EE9"/>
    <w:rsid w:val="003310E8"/>
    <w:rsid w:val="003319CA"/>
    <w:rsid w:val="003407AF"/>
    <w:rsid w:val="00340E9C"/>
    <w:rsid w:val="00340EB1"/>
    <w:rsid w:val="00341EB9"/>
    <w:rsid w:val="00343ADF"/>
    <w:rsid w:val="0034696A"/>
    <w:rsid w:val="00347F67"/>
    <w:rsid w:val="00350E29"/>
    <w:rsid w:val="0035167B"/>
    <w:rsid w:val="00352B17"/>
    <w:rsid w:val="0035535E"/>
    <w:rsid w:val="003570E7"/>
    <w:rsid w:val="00360070"/>
    <w:rsid w:val="003653FF"/>
    <w:rsid w:val="003704C6"/>
    <w:rsid w:val="00371A88"/>
    <w:rsid w:val="00371B95"/>
    <w:rsid w:val="00374604"/>
    <w:rsid w:val="003812D0"/>
    <w:rsid w:val="00382E71"/>
    <w:rsid w:val="00385C8F"/>
    <w:rsid w:val="00385CC5"/>
    <w:rsid w:val="00386CC2"/>
    <w:rsid w:val="003921AF"/>
    <w:rsid w:val="00392D46"/>
    <w:rsid w:val="00394AB2"/>
    <w:rsid w:val="00395418"/>
    <w:rsid w:val="00395ACC"/>
    <w:rsid w:val="003977D6"/>
    <w:rsid w:val="00397D81"/>
    <w:rsid w:val="003A3C3B"/>
    <w:rsid w:val="003A3E26"/>
    <w:rsid w:val="003A58BD"/>
    <w:rsid w:val="003A5CC1"/>
    <w:rsid w:val="003A6554"/>
    <w:rsid w:val="003B1C74"/>
    <w:rsid w:val="003B320C"/>
    <w:rsid w:val="003B6318"/>
    <w:rsid w:val="003B6441"/>
    <w:rsid w:val="003C08C7"/>
    <w:rsid w:val="003C15AA"/>
    <w:rsid w:val="003C3D2C"/>
    <w:rsid w:val="003C485C"/>
    <w:rsid w:val="003C50F4"/>
    <w:rsid w:val="003C53CB"/>
    <w:rsid w:val="003C69BB"/>
    <w:rsid w:val="003C6B35"/>
    <w:rsid w:val="003D00AA"/>
    <w:rsid w:val="003D453F"/>
    <w:rsid w:val="003D68AF"/>
    <w:rsid w:val="003E2975"/>
    <w:rsid w:val="003E51F5"/>
    <w:rsid w:val="003E723C"/>
    <w:rsid w:val="003F0357"/>
    <w:rsid w:val="003F128C"/>
    <w:rsid w:val="003F34D3"/>
    <w:rsid w:val="003F3819"/>
    <w:rsid w:val="003F42AE"/>
    <w:rsid w:val="003F51EC"/>
    <w:rsid w:val="003F620A"/>
    <w:rsid w:val="003F68B6"/>
    <w:rsid w:val="003F6E47"/>
    <w:rsid w:val="004023B0"/>
    <w:rsid w:val="004040C0"/>
    <w:rsid w:val="0040728A"/>
    <w:rsid w:val="00410821"/>
    <w:rsid w:val="00410F95"/>
    <w:rsid w:val="00412F29"/>
    <w:rsid w:val="004137AB"/>
    <w:rsid w:val="00416B06"/>
    <w:rsid w:val="0042773D"/>
    <w:rsid w:val="00430915"/>
    <w:rsid w:val="00431885"/>
    <w:rsid w:val="004333CB"/>
    <w:rsid w:val="004337FC"/>
    <w:rsid w:val="00434CB7"/>
    <w:rsid w:val="004368C3"/>
    <w:rsid w:val="00437D98"/>
    <w:rsid w:val="0044484D"/>
    <w:rsid w:val="00445FFD"/>
    <w:rsid w:val="00446226"/>
    <w:rsid w:val="00453866"/>
    <w:rsid w:val="00454F2E"/>
    <w:rsid w:val="004553F7"/>
    <w:rsid w:val="00455812"/>
    <w:rsid w:val="00457833"/>
    <w:rsid w:val="00461213"/>
    <w:rsid w:val="0046195B"/>
    <w:rsid w:val="00463539"/>
    <w:rsid w:val="004716D9"/>
    <w:rsid w:val="0047491A"/>
    <w:rsid w:val="00476795"/>
    <w:rsid w:val="00476E1B"/>
    <w:rsid w:val="00477B20"/>
    <w:rsid w:val="0048175B"/>
    <w:rsid w:val="0048240E"/>
    <w:rsid w:val="00485E4B"/>
    <w:rsid w:val="00490B73"/>
    <w:rsid w:val="00490C47"/>
    <w:rsid w:val="00491C2F"/>
    <w:rsid w:val="00497962"/>
    <w:rsid w:val="00497C12"/>
    <w:rsid w:val="004A4196"/>
    <w:rsid w:val="004A441D"/>
    <w:rsid w:val="004A470B"/>
    <w:rsid w:val="004A55A6"/>
    <w:rsid w:val="004A6BDC"/>
    <w:rsid w:val="004B0302"/>
    <w:rsid w:val="004B3368"/>
    <w:rsid w:val="004B3685"/>
    <w:rsid w:val="004B41FF"/>
    <w:rsid w:val="004B5831"/>
    <w:rsid w:val="004B5935"/>
    <w:rsid w:val="004B5CF7"/>
    <w:rsid w:val="004B5E7C"/>
    <w:rsid w:val="004C1436"/>
    <w:rsid w:val="004C3583"/>
    <w:rsid w:val="004C4436"/>
    <w:rsid w:val="004C6125"/>
    <w:rsid w:val="004D23A0"/>
    <w:rsid w:val="004D3153"/>
    <w:rsid w:val="004D3FFB"/>
    <w:rsid w:val="004D48C1"/>
    <w:rsid w:val="004D6ED1"/>
    <w:rsid w:val="004E0001"/>
    <w:rsid w:val="004E4B81"/>
    <w:rsid w:val="004E7BF1"/>
    <w:rsid w:val="004F00AB"/>
    <w:rsid w:val="004F22DD"/>
    <w:rsid w:val="004F2E7C"/>
    <w:rsid w:val="004F3322"/>
    <w:rsid w:val="004F4513"/>
    <w:rsid w:val="004F4691"/>
    <w:rsid w:val="004F4FF6"/>
    <w:rsid w:val="004F50F8"/>
    <w:rsid w:val="004F6D04"/>
    <w:rsid w:val="0050099B"/>
    <w:rsid w:val="00505D28"/>
    <w:rsid w:val="0051031E"/>
    <w:rsid w:val="00511597"/>
    <w:rsid w:val="005138EB"/>
    <w:rsid w:val="00516113"/>
    <w:rsid w:val="00525987"/>
    <w:rsid w:val="00532F83"/>
    <w:rsid w:val="0053334E"/>
    <w:rsid w:val="00533CA6"/>
    <w:rsid w:val="00535922"/>
    <w:rsid w:val="00535B2E"/>
    <w:rsid w:val="00537DB6"/>
    <w:rsid w:val="00541EDE"/>
    <w:rsid w:val="0054220C"/>
    <w:rsid w:val="0054298B"/>
    <w:rsid w:val="00542F76"/>
    <w:rsid w:val="00543433"/>
    <w:rsid w:val="00544506"/>
    <w:rsid w:val="00550A62"/>
    <w:rsid w:val="00550D92"/>
    <w:rsid w:val="00551482"/>
    <w:rsid w:val="00551CE1"/>
    <w:rsid w:val="005571C0"/>
    <w:rsid w:val="00557D21"/>
    <w:rsid w:val="0056155C"/>
    <w:rsid w:val="00564ECA"/>
    <w:rsid w:val="00565251"/>
    <w:rsid w:val="00565374"/>
    <w:rsid w:val="00565A63"/>
    <w:rsid w:val="00566896"/>
    <w:rsid w:val="0057236D"/>
    <w:rsid w:val="00572DA7"/>
    <w:rsid w:val="00573BA3"/>
    <w:rsid w:val="00574286"/>
    <w:rsid w:val="00575FD2"/>
    <w:rsid w:val="00576AE4"/>
    <w:rsid w:val="005775D2"/>
    <w:rsid w:val="00581135"/>
    <w:rsid w:val="00584BD2"/>
    <w:rsid w:val="00587BC1"/>
    <w:rsid w:val="00591502"/>
    <w:rsid w:val="00595DD4"/>
    <w:rsid w:val="005960FA"/>
    <w:rsid w:val="005A0899"/>
    <w:rsid w:val="005A0BAD"/>
    <w:rsid w:val="005A13DF"/>
    <w:rsid w:val="005A1A8A"/>
    <w:rsid w:val="005A2592"/>
    <w:rsid w:val="005A37B5"/>
    <w:rsid w:val="005A3859"/>
    <w:rsid w:val="005A4424"/>
    <w:rsid w:val="005A5A28"/>
    <w:rsid w:val="005A7A43"/>
    <w:rsid w:val="005A7B30"/>
    <w:rsid w:val="005B0075"/>
    <w:rsid w:val="005B1496"/>
    <w:rsid w:val="005B1A74"/>
    <w:rsid w:val="005B1D73"/>
    <w:rsid w:val="005B42E5"/>
    <w:rsid w:val="005B568A"/>
    <w:rsid w:val="005C1D23"/>
    <w:rsid w:val="005C40EF"/>
    <w:rsid w:val="005C58E6"/>
    <w:rsid w:val="005C62DE"/>
    <w:rsid w:val="005D0081"/>
    <w:rsid w:val="005D12A6"/>
    <w:rsid w:val="005D61DC"/>
    <w:rsid w:val="005D682B"/>
    <w:rsid w:val="005E05C1"/>
    <w:rsid w:val="005E5328"/>
    <w:rsid w:val="005E5F61"/>
    <w:rsid w:val="005F2A24"/>
    <w:rsid w:val="005F2D06"/>
    <w:rsid w:val="005F4B9B"/>
    <w:rsid w:val="005F776A"/>
    <w:rsid w:val="005F792F"/>
    <w:rsid w:val="0060380A"/>
    <w:rsid w:val="006045BE"/>
    <w:rsid w:val="006069DD"/>
    <w:rsid w:val="00606D76"/>
    <w:rsid w:val="00607E69"/>
    <w:rsid w:val="00610245"/>
    <w:rsid w:val="00610AC5"/>
    <w:rsid w:val="00614693"/>
    <w:rsid w:val="00615297"/>
    <w:rsid w:val="006209EE"/>
    <w:rsid w:val="0062246F"/>
    <w:rsid w:val="00627378"/>
    <w:rsid w:val="00627F8C"/>
    <w:rsid w:val="00632003"/>
    <w:rsid w:val="006344B2"/>
    <w:rsid w:val="00635F40"/>
    <w:rsid w:val="00636628"/>
    <w:rsid w:val="00637AF6"/>
    <w:rsid w:val="0064087F"/>
    <w:rsid w:val="00645F24"/>
    <w:rsid w:val="00662CED"/>
    <w:rsid w:val="00663B09"/>
    <w:rsid w:val="00664A47"/>
    <w:rsid w:val="00664D66"/>
    <w:rsid w:val="00667204"/>
    <w:rsid w:val="0066775B"/>
    <w:rsid w:val="00670F03"/>
    <w:rsid w:val="00671C59"/>
    <w:rsid w:val="006754F2"/>
    <w:rsid w:val="00675960"/>
    <w:rsid w:val="006779B7"/>
    <w:rsid w:val="006813F2"/>
    <w:rsid w:val="00684172"/>
    <w:rsid w:val="00686F63"/>
    <w:rsid w:val="00691100"/>
    <w:rsid w:val="00691231"/>
    <w:rsid w:val="00691414"/>
    <w:rsid w:val="00694AEA"/>
    <w:rsid w:val="006955C9"/>
    <w:rsid w:val="00696867"/>
    <w:rsid w:val="00697F67"/>
    <w:rsid w:val="006A01E3"/>
    <w:rsid w:val="006B1839"/>
    <w:rsid w:val="006B60F4"/>
    <w:rsid w:val="006C3E63"/>
    <w:rsid w:val="006C6AFB"/>
    <w:rsid w:val="006C76ED"/>
    <w:rsid w:val="006D176C"/>
    <w:rsid w:val="006D3255"/>
    <w:rsid w:val="006E095A"/>
    <w:rsid w:val="006F0088"/>
    <w:rsid w:val="006F5946"/>
    <w:rsid w:val="0070010C"/>
    <w:rsid w:val="00700608"/>
    <w:rsid w:val="00701671"/>
    <w:rsid w:val="00701B95"/>
    <w:rsid w:val="00704E6E"/>
    <w:rsid w:val="0070527E"/>
    <w:rsid w:val="00706A32"/>
    <w:rsid w:val="00711A8C"/>
    <w:rsid w:val="00713B7B"/>
    <w:rsid w:val="00715AF5"/>
    <w:rsid w:val="00722E5D"/>
    <w:rsid w:val="0072554A"/>
    <w:rsid w:val="007262D8"/>
    <w:rsid w:val="0072640D"/>
    <w:rsid w:val="00734398"/>
    <w:rsid w:val="00741CBE"/>
    <w:rsid w:val="0074285D"/>
    <w:rsid w:val="00743403"/>
    <w:rsid w:val="007435BE"/>
    <w:rsid w:val="00744AE4"/>
    <w:rsid w:val="00745A43"/>
    <w:rsid w:val="00752C57"/>
    <w:rsid w:val="00756F25"/>
    <w:rsid w:val="0075763B"/>
    <w:rsid w:val="00760546"/>
    <w:rsid w:val="0076147E"/>
    <w:rsid w:val="007640AA"/>
    <w:rsid w:val="0076422C"/>
    <w:rsid w:val="00767707"/>
    <w:rsid w:val="00770238"/>
    <w:rsid w:val="0077466F"/>
    <w:rsid w:val="00782385"/>
    <w:rsid w:val="007829B9"/>
    <w:rsid w:val="00785718"/>
    <w:rsid w:val="00785EF1"/>
    <w:rsid w:val="00786843"/>
    <w:rsid w:val="0078735D"/>
    <w:rsid w:val="007926A7"/>
    <w:rsid w:val="007964FB"/>
    <w:rsid w:val="007A06B0"/>
    <w:rsid w:val="007A7684"/>
    <w:rsid w:val="007A79FB"/>
    <w:rsid w:val="007B0009"/>
    <w:rsid w:val="007B01B9"/>
    <w:rsid w:val="007B5D69"/>
    <w:rsid w:val="007C3AE8"/>
    <w:rsid w:val="007C3D86"/>
    <w:rsid w:val="007C55C8"/>
    <w:rsid w:val="007C641D"/>
    <w:rsid w:val="007C7F7F"/>
    <w:rsid w:val="007D02B0"/>
    <w:rsid w:val="007D62F1"/>
    <w:rsid w:val="007D7592"/>
    <w:rsid w:val="007E08D6"/>
    <w:rsid w:val="007E0DB4"/>
    <w:rsid w:val="007E1501"/>
    <w:rsid w:val="007E2119"/>
    <w:rsid w:val="007E3EB0"/>
    <w:rsid w:val="007E449C"/>
    <w:rsid w:val="007E53BE"/>
    <w:rsid w:val="007E70DE"/>
    <w:rsid w:val="007F016E"/>
    <w:rsid w:val="007F05A4"/>
    <w:rsid w:val="007F1140"/>
    <w:rsid w:val="007F377E"/>
    <w:rsid w:val="007F4DF4"/>
    <w:rsid w:val="007F52E3"/>
    <w:rsid w:val="007F53CA"/>
    <w:rsid w:val="007F55C4"/>
    <w:rsid w:val="007F7D0B"/>
    <w:rsid w:val="00802AAB"/>
    <w:rsid w:val="00803260"/>
    <w:rsid w:val="008032BC"/>
    <w:rsid w:val="00803A8D"/>
    <w:rsid w:val="00803F94"/>
    <w:rsid w:val="00804BCD"/>
    <w:rsid w:val="00805FF2"/>
    <w:rsid w:val="00812A7E"/>
    <w:rsid w:val="00814183"/>
    <w:rsid w:val="00815F6F"/>
    <w:rsid w:val="00816403"/>
    <w:rsid w:val="00816899"/>
    <w:rsid w:val="00820935"/>
    <w:rsid w:val="00822638"/>
    <w:rsid w:val="008244A5"/>
    <w:rsid w:val="00825FF1"/>
    <w:rsid w:val="008306F2"/>
    <w:rsid w:val="00834AF9"/>
    <w:rsid w:val="008361F3"/>
    <w:rsid w:val="0083795C"/>
    <w:rsid w:val="008426D0"/>
    <w:rsid w:val="00850042"/>
    <w:rsid w:val="0085072A"/>
    <w:rsid w:val="008510A2"/>
    <w:rsid w:val="0085396C"/>
    <w:rsid w:val="00853CDC"/>
    <w:rsid w:val="0085610E"/>
    <w:rsid w:val="0085623C"/>
    <w:rsid w:val="00866A0D"/>
    <w:rsid w:val="0087036A"/>
    <w:rsid w:val="0087042A"/>
    <w:rsid w:val="008726B9"/>
    <w:rsid w:val="00872BDB"/>
    <w:rsid w:val="00874877"/>
    <w:rsid w:val="00875D43"/>
    <w:rsid w:val="0087770F"/>
    <w:rsid w:val="008808F0"/>
    <w:rsid w:val="00882AAC"/>
    <w:rsid w:val="00884AAA"/>
    <w:rsid w:val="00885D27"/>
    <w:rsid w:val="00896056"/>
    <w:rsid w:val="00897747"/>
    <w:rsid w:val="00897E29"/>
    <w:rsid w:val="008A1404"/>
    <w:rsid w:val="008A3833"/>
    <w:rsid w:val="008A6EBB"/>
    <w:rsid w:val="008A7DE4"/>
    <w:rsid w:val="008B251E"/>
    <w:rsid w:val="008B41A9"/>
    <w:rsid w:val="008B4686"/>
    <w:rsid w:val="008B505E"/>
    <w:rsid w:val="008B555D"/>
    <w:rsid w:val="008B7857"/>
    <w:rsid w:val="008B7862"/>
    <w:rsid w:val="008B7E08"/>
    <w:rsid w:val="008C14B0"/>
    <w:rsid w:val="008C392F"/>
    <w:rsid w:val="008C3AB7"/>
    <w:rsid w:val="008D2817"/>
    <w:rsid w:val="008D3729"/>
    <w:rsid w:val="008D47BE"/>
    <w:rsid w:val="008D66C2"/>
    <w:rsid w:val="008D699B"/>
    <w:rsid w:val="008E09B4"/>
    <w:rsid w:val="008E51DD"/>
    <w:rsid w:val="008E554B"/>
    <w:rsid w:val="008E64A9"/>
    <w:rsid w:val="008F0EB4"/>
    <w:rsid w:val="008F322D"/>
    <w:rsid w:val="008F3A3D"/>
    <w:rsid w:val="009022FB"/>
    <w:rsid w:val="00902C9B"/>
    <w:rsid w:val="00903D31"/>
    <w:rsid w:val="00904F42"/>
    <w:rsid w:val="00905FE1"/>
    <w:rsid w:val="00907A07"/>
    <w:rsid w:val="00913400"/>
    <w:rsid w:val="00921670"/>
    <w:rsid w:val="00923FFA"/>
    <w:rsid w:val="009241D1"/>
    <w:rsid w:val="009362DC"/>
    <w:rsid w:val="009371E7"/>
    <w:rsid w:val="00937ADC"/>
    <w:rsid w:val="00940004"/>
    <w:rsid w:val="00940A7B"/>
    <w:rsid w:val="00941F62"/>
    <w:rsid w:val="00944D34"/>
    <w:rsid w:val="0094515C"/>
    <w:rsid w:val="00945B16"/>
    <w:rsid w:val="00947ABC"/>
    <w:rsid w:val="00951B28"/>
    <w:rsid w:val="00952333"/>
    <w:rsid w:val="0095676C"/>
    <w:rsid w:val="009568B1"/>
    <w:rsid w:val="009624C0"/>
    <w:rsid w:val="00963B8D"/>
    <w:rsid w:val="00966681"/>
    <w:rsid w:val="00966C29"/>
    <w:rsid w:val="009706D0"/>
    <w:rsid w:val="00970CB1"/>
    <w:rsid w:val="00970F9E"/>
    <w:rsid w:val="00972C05"/>
    <w:rsid w:val="00975EB7"/>
    <w:rsid w:val="009777B6"/>
    <w:rsid w:val="00981581"/>
    <w:rsid w:val="009854CF"/>
    <w:rsid w:val="009862B5"/>
    <w:rsid w:val="009869E6"/>
    <w:rsid w:val="009905FC"/>
    <w:rsid w:val="00990966"/>
    <w:rsid w:val="009963A5"/>
    <w:rsid w:val="009A008B"/>
    <w:rsid w:val="009B25BF"/>
    <w:rsid w:val="009B55D7"/>
    <w:rsid w:val="009C39D3"/>
    <w:rsid w:val="009C432C"/>
    <w:rsid w:val="009C5D51"/>
    <w:rsid w:val="009C760C"/>
    <w:rsid w:val="009D1AFA"/>
    <w:rsid w:val="009D27B5"/>
    <w:rsid w:val="009D6410"/>
    <w:rsid w:val="009E105B"/>
    <w:rsid w:val="009E2176"/>
    <w:rsid w:val="009E244B"/>
    <w:rsid w:val="009E5AA6"/>
    <w:rsid w:val="009F03A2"/>
    <w:rsid w:val="009F1F08"/>
    <w:rsid w:val="009F23A4"/>
    <w:rsid w:val="009F7B1B"/>
    <w:rsid w:val="00A01875"/>
    <w:rsid w:val="00A03350"/>
    <w:rsid w:val="00A064D6"/>
    <w:rsid w:val="00A067D1"/>
    <w:rsid w:val="00A0793F"/>
    <w:rsid w:val="00A10789"/>
    <w:rsid w:val="00A11C76"/>
    <w:rsid w:val="00A14795"/>
    <w:rsid w:val="00A154A9"/>
    <w:rsid w:val="00A20115"/>
    <w:rsid w:val="00A20338"/>
    <w:rsid w:val="00A23F14"/>
    <w:rsid w:val="00A33788"/>
    <w:rsid w:val="00A33F15"/>
    <w:rsid w:val="00A345DF"/>
    <w:rsid w:val="00A40FB1"/>
    <w:rsid w:val="00A421A9"/>
    <w:rsid w:val="00A44910"/>
    <w:rsid w:val="00A45490"/>
    <w:rsid w:val="00A4742D"/>
    <w:rsid w:val="00A475C3"/>
    <w:rsid w:val="00A53A5F"/>
    <w:rsid w:val="00A53DC1"/>
    <w:rsid w:val="00A60F56"/>
    <w:rsid w:val="00A63D67"/>
    <w:rsid w:val="00A6521F"/>
    <w:rsid w:val="00A66EE3"/>
    <w:rsid w:val="00A6718F"/>
    <w:rsid w:val="00A67382"/>
    <w:rsid w:val="00A70197"/>
    <w:rsid w:val="00A71663"/>
    <w:rsid w:val="00A726CA"/>
    <w:rsid w:val="00A7412C"/>
    <w:rsid w:val="00A75C2B"/>
    <w:rsid w:val="00A75DE6"/>
    <w:rsid w:val="00A8129D"/>
    <w:rsid w:val="00A866E1"/>
    <w:rsid w:val="00A86D58"/>
    <w:rsid w:val="00A910C7"/>
    <w:rsid w:val="00A93A8D"/>
    <w:rsid w:val="00A95BB7"/>
    <w:rsid w:val="00A96211"/>
    <w:rsid w:val="00A96BD9"/>
    <w:rsid w:val="00A97DD5"/>
    <w:rsid w:val="00AA0B92"/>
    <w:rsid w:val="00AA0BBC"/>
    <w:rsid w:val="00AB0EC4"/>
    <w:rsid w:val="00AB137D"/>
    <w:rsid w:val="00AB3099"/>
    <w:rsid w:val="00AB38ED"/>
    <w:rsid w:val="00AB5812"/>
    <w:rsid w:val="00AB7B58"/>
    <w:rsid w:val="00AC1DCA"/>
    <w:rsid w:val="00AC479A"/>
    <w:rsid w:val="00AC6023"/>
    <w:rsid w:val="00AC729E"/>
    <w:rsid w:val="00AD1168"/>
    <w:rsid w:val="00AD1FC1"/>
    <w:rsid w:val="00AD39BA"/>
    <w:rsid w:val="00AD4798"/>
    <w:rsid w:val="00AD522E"/>
    <w:rsid w:val="00AD6008"/>
    <w:rsid w:val="00AE0913"/>
    <w:rsid w:val="00AE249E"/>
    <w:rsid w:val="00AE2A7B"/>
    <w:rsid w:val="00AE4B96"/>
    <w:rsid w:val="00AE612B"/>
    <w:rsid w:val="00AE7290"/>
    <w:rsid w:val="00AF0BD9"/>
    <w:rsid w:val="00AF1FB8"/>
    <w:rsid w:val="00AF399C"/>
    <w:rsid w:val="00AF439A"/>
    <w:rsid w:val="00AF57DB"/>
    <w:rsid w:val="00AF632B"/>
    <w:rsid w:val="00B01A9E"/>
    <w:rsid w:val="00B0741F"/>
    <w:rsid w:val="00B16B1E"/>
    <w:rsid w:val="00B21A6F"/>
    <w:rsid w:val="00B21B64"/>
    <w:rsid w:val="00B21C09"/>
    <w:rsid w:val="00B23975"/>
    <w:rsid w:val="00B23F6A"/>
    <w:rsid w:val="00B25087"/>
    <w:rsid w:val="00B26ADF"/>
    <w:rsid w:val="00B3094F"/>
    <w:rsid w:val="00B3343C"/>
    <w:rsid w:val="00B343F3"/>
    <w:rsid w:val="00B34B84"/>
    <w:rsid w:val="00B40220"/>
    <w:rsid w:val="00B40926"/>
    <w:rsid w:val="00B4339F"/>
    <w:rsid w:val="00B45973"/>
    <w:rsid w:val="00B50AFB"/>
    <w:rsid w:val="00B51BFA"/>
    <w:rsid w:val="00B5429F"/>
    <w:rsid w:val="00B55BA5"/>
    <w:rsid w:val="00B56FE8"/>
    <w:rsid w:val="00B60F21"/>
    <w:rsid w:val="00B66F8A"/>
    <w:rsid w:val="00B70B58"/>
    <w:rsid w:val="00B713C1"/>
    <w:rsid w:val="00B72274"/>
    <w:rsid w:val="00B835D9"/>
    <w:rsid w:val="00B83CB6"/>
    <w:rsid w:val="00B8535E"/>
    <w:rsid w:val="00B915FC"/>
    <w:rsid w:val="00B9204B"/>
    <w:rsid w:val="00B945AF"/>
    <w:rsid w:val="00B978E1"/>
    <w:rsid w:val="00BA14F1"/>
    <w:rsid w:val="00BA645A"/>
    <w:rsid w:val="00BB705A"/>
    <w:rsid w:val="00BB740B"/>
    <w:rsid w:val="00BC02B7"/>
    <w:rsid w:val="00BC109B"/>
    <w:rsid w:val="00BC360D"/>
    <w:rsid w:val="00BC3744"/>
    <w:rsid w:val="00BC37C4"/>
    <w:rsid w:val="00BC3DE9"/>
    <w:rsid w:val="00BC60B9"/>
    <w:rsid w:val="00BD0297"/>
    <w:rsid w:val="00BD0BDB"/>
    <w:rsid w:val="00BD0DB7"/>
    <w:rsid w:val="00BD2564"/>
    <w:rsid w:val="00BD29C5"/>
    <w:rsid w:val="00BD78F3"/>
    <w:rsid w:val="00BE1353"/>
    <w:rsid w:val="00BE2137"/>
    <w:rsid w:val="00BE431E"/>
    <w:rsid w:val="00BE4561"/>
    <w:rsid w:val="00BE6161"/>
    <w:rsid w:val="00BF1F98"/>
    <w:rsid w:val="00BF3C62"/>
    <w:rsid w:val="00BF6DD6"/>
    <w:rsid w:val="00BF7144"/>
    <w:rsid w:val="00BF7FDD"/>
    <w:rsid w:val="00C00A1B"/>
    <w:rsid w:val="00C00BAC"/>
    <w:rsid w:val="00C0699F"/>
    <w:rsid w:val="00C13852"/>
    <w:rsid w:val="00C1674F"/>
    <w:rsid w:val="00C17A42"/>
    <w:rsid w:val="00C20024"/>
    <w:rsid w:val="00C21B55"/>
    <w:rsid w:val="00C223A2"/>
    <w:rsid w:val="00C230D4"/>
    <w:rsid w:val="00C2341E"/>
    <w:rsid w:val="00C26F86"/>
    <w:rsid w:val="00C31BA3"/>
    <w:rsid w:val="00C327A5"/>
    <w:rsid w:val="00C32D54"/>
    <w:rsid w:val="00C3314E"/>
    <w:rsid w:val="00C34D58"/>
    <w:rsid w:val="00C3563B"/>
    <w:rsid w:val="00C40211"/>
    <w:rsid w:val="00C41151"/>
    <w:rsid w:val="00C41D43"/>
    <w:rsid w:val="00C42327"/>
    <w:rsid w:val="00C42CCE"/>
    <w:rsid w:val="00C47204"/>
    <w:rsid w:val="00C50EC6"/>
    <w:rsid w:val="00C55404"/>
    <w:rsid w:val="00C561B4"/>
    <w:rsid w:val="00C57BA1"/>
    <w:rsid w:val="00C67CC5"/>
    <w:rsid w:val="00C7221D"/>
    <w:rsid w:val="00C72F7D"/>
    <w:rsid w:val="00C7331F"/>
    <w:rsid w:val="00C7405F"/>
    <w:rsid w:val="00C74E15"/>
    <w:rsid w:val="00C75A36"/>
    <w:rsid w:val="00C76304"/>
    <w:rsid w:val="00C76C46"/>
    <w:rsid w:val="00C77FB3"/>
    <w:rsid w:val="00C77FE2"/>
    <w:rsid w:val="00C808FB"/>
    <w:rsid w:val="00C837AA"/>
    <w:rsid w:val="00C8539D"/>
    <w:rsid w:val="00C869E9"/>
    <w:rsid w:val="00C87236"/>
    <w:rsid w:val="00C91E9E"/>
    <w:rsid w:val="00C95E31"/>
    <w:rsid w:val="00CA08FB"/>
    <w:rsid w:val="00CA7DD4"/>
    <w:rsid w:val="00CA7F14"/>
    <w:rsid w:val="00CB091A"/>
    <w:rsid w:val="00CB0ECD"/>
    <w:rsid w:val="00CB76E7"/>
    <w:rsid w:val="00CC0316"/>
    <w:rsid w:val="00CC3F20"/>
    <w:rsid w:val="00CD03DC"/>
    <w:rsid w:val="00CD0A2C"/>
    <w:rsid w:val="00CD51E6"/>
    <w:rsid w:val="00CD6510"/>
    <w:rsid w:val="00CD7CD4"/>
    <w:rsid w:val="00CE0CBD"/>
    <w:rsid w:val="00CE1C53"/>
    <w:rsid w:val="00CE1D67"/>
    <w:rsid w:val="00CE3E4E"/>
    <w:rsid w:val="00CE40B4"/>
    <w:rsid w:val="00CE589F"/>
    <w:rsid w:val="00CE6B3D"/>
    <w:rsid w:val="00CF085B"/>
    <w:rsid w:val="00CF09DD"/>
    <w:rsid w:val="00CF1AB5"/>
    <w:rsid w:val="00CF5FE5"/>
    <w:rsid w:val="00D03DF0"/>
    <w:rsid w:val="00D044F4"/>
    <w:rsid w:val="00D073E4"/>
    <w:rsid w:val="00D113FA"/>
    <w:rsid w:val="00D16E88"/>
    <w:rsid w:val="00D17568"/>
    <w:rsid w:val="00D21634"/>
    <w:rsid w:val="00D221EE"/>
    <w:rsid w:val="00D22D6D"/>
    <w:rsid w:val="00D2574F"/>
    <w:rsid w:val="00D260C3"/>
    <w:rsid w:val="00D319EE"/>
    <w:rsid w:val="00D335B5"/>
    <w:rsid w:val="00D338DB"/>
    <w:rsid w:val="00D35F24"/>
    <w:rsid w:val="00D36C96"/>
    <w:rsid w:val="00D3798D"/>
    <w:rsid w:val="00D407C9"/>
    <w:rsid w:val="00D41243"/>
    <w:rsid w:val="00D450DB"/>
    <w:rsid w:val="00D50490"/>
    <w:rsid w:val="00D535E5"/>
    <w:rsid w:val="00D539C7"/>
    <w:rsid w:val="00D542D1"/>
    <w:rsid w:val="00D54903"/>
    <w:rsid w:val="00D55148"/>
    <w:rsid w:val="00D56170"/>
    <w:rsid w:val="00D60AFC"/>
    <w:rsid w:val="00D61503"/>
    <w:rsid w:val="00D65471"/>
    <w:rsid w:val="00D669AC"/>
    <w:rsid w:val="00D71310"/>
    <w:rsid w:val="00D718C2"/>
    <w:rsid w:val="00D72DB6"/>
    <w:rsid w:val="00D739E9"/>
    <w:rsid w:val="00D75AF1"/>
    <w:rsid w:val="00D77142"/>
    <w:rsid w:val="00D8067C"/>
    <w:rsid w:val="00D83F15"/>
    <w:rsid w:val="00D84891"/>
    <w:rsid w:val="00D84A6A"/>
    <w:rsid w:val="00D86126"/>
    <w:rsid w:val="00D91922"/>
    <w:rsid w:val="00D91D0A"/>
    <w:rsid w:val="00D92DCD"/>
    <w:rsid w:val="00D9790B"/>
    <w:rsid w:val="00DA0FDE"/>
    <w:rsid w:val="00DA1CF2"/>
    <w:rsid w:val="00DA2CD5"/>
    <w:rsid w:val="00DA4B02"/>
    <w:rsid w:val="00DA584F"/>
    <w:rsid w:val="00DA633D"/>
    <w:rsid w:val="00DB61F9"/>
    <w:rsid w:val="00DC0BDE"/>
    <w:rsid w:val="00DC18DF"/>
    <w:rsid w:val="00DD0EB8"/>
    <w:rsid w:val="00DD1BB3"/>
    <w:rsid w:val="00DD2C10"/>
    <w:rsid w:val="00DD40D1"/>
    <w:rsid w:val="00DD6802"/>
    <w:rsid w:val="00DE55B3"/>
    <w:rsid w:val="00DF08AD"/>
    <w:rsid w:val="00DF3A95"/>
    <w:rsid w:val="00DF42E3"/>
    <w:rsid w:val="00DF5BF0"/>
    <w:rsid w:val="00DF73D9"/>
    <w:rsid w:val="00DF76FB"/>
    <w:rsid w:val="00E009DA"/>
    <w:rsid w:val="00E01578"/>
    <w:rsid w:val="00E02E62"/>
    <w:rsid w:val="00E05AA4"/>
    <w:rsid w:val="00E071CA"/>
    <w:rsid w:val="00E111F0"/>
    <w:rsid w:val="00E11E27"/>
    <w:rsid w:val="00E12A61"/>
    <w:rsid w:val="00E12B18"/>
    <w:rsid w:val="00E14A1F"/>
    <w:rsid w:val="00E1550E"/>
    <w:rsid w:val="00E15C89"/>
    <w:rsid w:val="00E22A8D"/>
    <w:rsid w:val="00E23DE6"/>
    <w:rsid w:val="00E3109D"/>
    <w:rsid w:val="00E330FC"/>
    <w:rsid w:val="00E424D5"/>
    <w:rsid w:val="00E43E24"/>
    <w:rsid w:val="00E46296"/>
    <w:rsid w:val="00E47633"/>
    <w:rsid w:val="00E51323"/>
    <w:rsid w:val="00E51CAE"/>
    <w:rsid w:val="00E575F9"/>
    <w:rsid w:val="00E620E1"/>
    <w:rsid w:val="00E628CA"/>
    <w:rsid w:val="00E6393F"/>
    <w:rsid w:val="00E64774"/>
    <w:rsid w:val="00E70921"/>
    <w:rsid w:val="00E76341"/>
    <w:rsid w:val="00E84DB1"/>
    <w:rsid w:val="00E85B4A"/>
    <w:rsid w:val="00E86C90"/>
    <w:rsid w:val="00E86CFB"/>
    <w:rsid w:val="00E86EB6"/>
    <w:rsid w:val="00E903CE"/>
    <w:rsid w:val="00E92B14"/>
    <w:rsid w:val="00E93E68"/>
    <w:rsid w:val="00E95161"/>
    <w:rsid w:val="00E96E47"/>
    <w:rsid w:val="00EA262F"/>
    <w:rsid w:val="00EA2B45"/>
    <w:rsid w:val="00EA6582"/>
    <w:rsid w:val="00EA69EB"/>
    <w:rsid w:val="00EB0D3B"/>
    <w:rsid w:val="00EB22ED"/>
    <w:rsid w:val="00EB2812"/>
    <w:rsid w:val="00EB4C73"/>
    <w:rsid w:val="00EB514D"/>
    <w:rsid w:val="00EC00BE"/>
    <w:rsid w:val="00EC1080"/>
    <w:rsid w:val="00EC1634"/>
    <w:rsid w:val="00EC2E94"/>
    <w:rsid w:val="00EC3451"/>
    <w:rsid w:val="00EC5027"/>
    <w:rsid w:val="00EC581B"/>
    <w:rsid w:val="00EC7261"/>
    <w:rsid w:val="00ED0EA1"/>
    <w:rsid w:val="00ED16C7"/>
    <w:rsid w:val="00ED3CBE"/>
    <w:rsid w:val="00ED3E8B"/>
    <w:rsid w:val="00ED431B"/>
    <w:rsid w:val="00ED5506"/>
    <w:rsid w:val="00EE02AD"/>
    <w:rsid w:val="00EE072E"/>
    <w:rsid w:val="00EE11F6"/>
    <w:rsid w:val="00EE51D9"/>
    <w:rsid w:val="00EE6733"/>
    <w:rsid w:val="00EF0D33"/>
    <w:rsid w:val="00EF647F"/>
    <w:rsid w:val="00EF6D4E"/>
    <w:rsid w:val="00EF79EA"/>
    <w:rsid w:val="00F00A00"/>
    <w:rsid w:val="00F0220B"/>
    <w:rsid w:val="00F03E53"/>
    <w:rsid w:val="00F05D00"/>
    <w:rsid w:val="00F06928"/>
    <w:rsid w:val="00F06AB0"/>
    <w:rsid w:val="00F079FA"/>
    <w:rsid w:val="00F16916"/>
    <w:rsid w:val="00F17CBA"/>
    <w:rsid w:val="00F24E85"/>
    <w:rsid w:val="00F25B1C"/>
    <w:rsid w:val="00F319B2"/>
    <w:rsid w:val="00F32121"/>
    <w:rsid w:val="00F322FC"/>
    <w:rsid w:val="00F3671C"/>
    <w:rsid w:val="00F37390"/>
    <w:rsid w:val="00F40972"/>
    <w:rsid w:val="00F423A0"/>
    <w:rsid w:val="00F427E4"/>
    <w:rsid w:val="00F44D85"/>
    <w:rsid w:val="00F44E4B"/>
    <w:rsid w:val="00F45232"/>
    <w:rsid w:val="00F46976"/>
    <w:rsid w:val="00F4722D"/>
    <w:rsid w:val="00F50FD9"/>
    <w:rsid w:val="00F53A85"/>
    <w:rsid w:val="00F56AE0"/>
    <w:rsid w:val="00F57B09"/>
    <w:rsid w:val="00F638BF"/>
    <w:rsid w:val="00F64640"/>
    <w:rsid w:val="00F653F8"/>
    <w:rsid w:val="00F669B6"/>
    <w:rsid w:val="00F70E6D"/>
    <w:rsid w:val="00F7345C"/>
    <w:rsid w:val="00F74105"/>
    <w:rsid w:val="00F76659"/>
    <w:rsid w:val="00F769C4"/>
    <w:rsid w:val="00F81B09"/>
    <w:rsid w:val="00F8216B"/>
    <w:rsid w:val="00F852B2"/>
    <w:rsid w:val="00F870D4"/>
    <w:rsid w:val="00F901E9"/>
    <w:rsid w:val="00F90E45"/>
    <w:rsid w:val="00F91F3F"/>
    <w:rsid w:val="00F928A3"/>
    <w:rsid w:val="00F92F61"/>
    <w:rsid w:val="00F95A9B"/>
    <w:rsid w:val="00F967B3"/>
    <w:rsid w:val="00F96C14"/>
    <w:rsid w:val="00FA0759"/>
    <w:rsid w:val="00FA10B8"/>
    <w:rsid w:val="00FA45E3"/>
    <w:rsid w:val="00FA49CE"/>
    <w:rsid w:val="00FA5550"/>
    <w:rsid w:val="00FA58F6"/>
    <w:rsid w:val="00FA6170"/>
    <w:rsid w:val="00FB2B22"/>
    <w:rsid w:val="00FB2D21"/>
    <w:rsid w:val="00FB33A9"/>
    <w:rsid w:val="00FB52A1"/>
    <w:rsid w:val="00FB5BB0"/>
    <w:rsid w:val="00FB6FE7"/>
    <w:rsid w:val="00FC0530"/>
    <w:rsid w:val="00FC1249"/>
    <w:rsid w:val="00FC16F1"/>
    <w:rsid w:val="00FC363F"/>
    <w:rsid w:val="00FC3B82"/>
    <w:rsid w:val="00FC6194"/>
    <w:rsid w:val="00FC6FB4"/>
    <w:rsid w:val="00FC7D82"/>
    <w:rsid w:val="00FD1C44"/>
    <w:rsid w:val="00FD393B"/>
    <w:rsid w:val="00FD4185"/>
    <w:rsid w:val="00FD5DC4"/>
    <w:rsid w:val="00FD7EB6"/>
    <w:rsid w:val="00FE0649"/>
    <w:rsid w:val="00FE1A23"/>
    <w:rsid w:val="00FF075C"/>
    <w:rsid w:val="00FF0D03"/>
    <w:rsid w:val="00FF42EE"/>
    <w:rsid w:val="00FF4E9C"/>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uiPriority w:val="99"/>
    <w:rsid w:val="00497962"/>
    <w:pPr>
      <w:tabs>
        <w:tab w:val="center" w:pos="4153"/>
        <w:tab w:val="right" w:pos="8306"/>
      </w:tabs>
    </w:pPr>
  </w:style>
  <w:style w:type="character" w:customStyle="1" w:styleId="HeaderChar">
    <w:name w:val="Header Char"/>
    <w:link w:val="Header"/>
    <w:uiPriority w:val="99"/>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 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 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paragraph" w:styleId="Revision">
    <w:name w:val="Revision"/>
    <w:hidden/>
    <w:uiPriority w:val="99"/>
    <w:semiHidden/>
    <w:rsid w:val="00063F61"/>
    <w:rPr>
      <w:rFonts w:eastAsia="Calibri"/>
      <w:sz w:val="24"/>
      <w:szCs w:val="22"/>
      <w:lang w:eastAsia="en-US"/>
    </w:rPr>
  </w:style>
  <w:style w:type="paragraph" w:styleId="BodyTextIndent">
    <w:name w:val="Body Text Indent"/>
    <w:basedOn w:val="Normal"/>
    <w:link w:val="BodyTextIndentChar"/>
    <w:rsid w:val="00D669AC"/>
    <w:pPr>
      <w:spacing w:after="120"/>
      <w:ind w:left="283"/>
    </w:pPr>
  </w:style>
  <w:style w:type="character" w:customStyle="1" w:styleId="BodyTextIndentChar">
    <w:name w:val="Body Text Indent Char"/>
    <w:link w:val="BodyTextIndent"/>
    <w:rsid w:val="00D669AC"/>
    <w:rPr>
      <w:rFonts w:eastAsia="Calibri"/>
      <w:sz w:val="24"/>
      <w:szCs w:val="22"/>
      <w:lang w:eastAsia="en-US"/>
    </w:rPr>
  </w:style>
  <w:style w:type="character" w:customStyle="1" w:styleId="Corpsdutexte">
    <w:name w:val="Corps du texte_"/>
    <w:link w:val="Corpsdutexte1"/>
    <w:uiPriority w:val="99"/>
    <w:rsid w:val="00D77142"/>
    <w:rPr>
      <w:sz w:val="22"/>
      <w:szCs w:val="22"/>
      <w:shd w:val="clear" w:color="auto" w:fill="FFFFFF"/>
    </w:rPr>
  </w:style>
  <w:style w:type="character" w:customStyle="1" w:styleId="En-tte6">
    <w:name w:val="En-tête #6_"/>
    <w:link w:val="En-tte61"/>
    <w:uiPriority w:val="99"/>
    <w:rsid w:val="00D77142"/>
    <w:rPr>
      <w:b/>
      <w:bCs/>
      <w:sz w:val="22"/>
      <w:szCs w:val="22"/>
      <w:shd w:val="clear" w:color="auto" w:fill="FFFFFF"/>
    </w:rPr>
  </w:style>
  <w:style w:type="character" w:customStyle="1" w:styleId="Corpsdutexte11">
    <w:name w:val="Corps du texte11"/>
    <w:uiPriority w:val="99"/>
    <w:rsid w:val="00D77142"/>
    <w:rPr>
      <w:sz w:val="22"/>
      <w:szCs w:val="22"/>
      <w:u w:val="single"/>
      <w:shd w:val="clear" w:color="auto" w:fill="FFFFFF"/>
    </w:rPr>
  </w:style>
  <w:style w:type="character" w:customStyle="1" w:styleId="Corpsdutexte10">
    <w:name w:val="Corps du texte10"/>
    <w:uiPriority w:val="99"/>
    <w:rsid w:val="00D77142"/>
    <w:rPr>
      <w:sz w:val="22"/>
      <w:szCs w:val="22"/>
      <w:u w:val="single"/>
      <w:shd w:val="clear" w:color="auto" w:fill="FFFFFF"/>
    </w:rPr>
  </w:style>
  <w:style w:type="character" w:customStyle="1" w:styleId="En-tte68">
    <w:name w:val="En-tête #68"/>
    <w:uiPriority w:val="99"/>
    <w:rsid w:val="00D77142"/>
    <w:rPr>
      <w:b/>
      <w:bCs/>
      <w:sz w:val="22"/>
      <w:szCs w:val="22"/>
      <w:u w:val="single"/>
      <w:shd w:val="clear" w:color="auto" w:fill="FFFFFF"/>
    </w:rPr>
  </w:style>
  <w:style w:type="paragraph" w:customStyle="1" w:styleId="Corpsdutexte1">
    <w:name w:val="Corps du texte1"/>
    <w:basedOn w:val="Normal"/>
    <w:link w:val="Corpsdutexte"/>
    <w:uiPriority w:val="99"/>
    <w:rsid w:val="00D77142"/>
    <w:pPr>
      <w:widowControl w:val="0"/>
      <w:shd w:val="clear" w:color="auto" w:fill="FFFFFF"/>
      <w:spacing w:before="2460" w:after="1200" w:line="240" w:lineRule="atLeast"/>
      <w:ind w:hanging="1180"/>
    </w:pPr>
    <w:rPr>
      <w:rFonts w:eastAsia="Times New Roman"/>
      <w:sz w:val="22"/>
      <w:lang w:eastAsia="lv-LV"/>
    </w:rPr>
  </w:style>
  <w:style w:type="paragraph" w:customStyle="1" w:styleId="En-tte61">
    <w:name w:val="En-tête #61"/>
    <w:basedOn w:val="Normal"/>
    <w:link w:val="En-tte6"/>
    <w:uiPriority w:val="99"/>
    <w:rsid w:val="00D77142"/>
    <w:pPr>
      <w:widowControl w:val="0"/>
      <w:shd w:val="clear" w:color="auto" w:fill="FFFFFF"/>
      <w:spacing w:before="300" w:after="180" w:line="254" w:lineRule="exact"/>
      <w:ind w:hanging="540"/>
      <w:outlineLvl w:val="5"/>
    </w:pPr>
    <w:rPr>
      <w:rFonts w:eastAsia="Times New Roman"/>
      <w:b/>
      <w:bCs/>
      <w:sz w:val="22"/>
      <w:lang w:eastAsia="lv-LV"/>
    </w:rPr>
  </w:style>
  <w:style w:type="paragraph" w:styleId="HTMLPreformatted">
    <w:name w:val="HTML Preformatted"/>
    <w:basedOn w:val="Normal"/>
    <w:link w:val="HTMLPreformattedChar"/>
    <w:rsid w:val="00F079FA"/>
    <w:rPr>
      <w:rFonts w:ascii="Courier New" w:hAnsi="Courier New" w:cs="Courier New"/>
      <w:sz w:val="20"/>
      <w:szCs w:val="20"/>
    </w:rPr>
  </w:style>
  <w:style w:type="character" w:customStyle="1" w:styleId="HTMLPreformattedChar">
    <w:name w:val="HTML Preformatted Char"/>
    <w:link w:val="HTMLPreformatted"/>
    <w:rsid w:val="00F079FA"/>
    <w:rPr>
      <w:rFonts w:ascii="Courier New" w:eastAsia="Calibri" w:hAnsi="Courier New" w:cs="Courier New"/>
      <w:lang w:eastAsia="en-US"/>
    </w:rPr>
  </w:style>
  <w:style w:type="table" w:styleId="TableGrid">
    <w:name w:val="Table Grid"/>
    <w:basedOn w:val="TableNormal"/>
    <w:uiPriority w:val="39"/>
    <w:rsid w:val="00EB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B33A9"/>
    <w:rPr>
      <w:color w:val="800080"/>
      <w:u w:val="single"/>
    </w:rPr>
  </w:style>
  <w:style w:type="paragraph" w:styleId="ListParagraph">
    <w:name w:val="List Paragraph"/>
    <w:basedOn w:val="Normal"/>
    <w:uiPriority w:val="34"/>
    <w:qFormat/>
    <w:rsid w:val="00DD2C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uiPriority w:val="99"/>
    <w:rsid w:val="00497962"/>
    <w:pPr>
      <w:tabs>
        <w:tab w:val="center" w:pos="4153"/>
        <w:tab w:val="right" w:pos="8306"/>
      </w:tabs>
    </w:pPr>
  </w:style>
  <w:style w:type="character" w:customStyle="1" w:styleId="HeaderChar">
    <w:name w:val="Header Char"/>
    <w:link w:val="Header"/>
    <w:uiPriority w:val="99"/>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 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 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paragraph" w:styleId="Revision">
    <w:name w:val="Revision"/>
    <w:hidden/>
    <w:uiPriority w:val="99"/>
    <w:semiHidden/>
    <w:rsid w:val="00063F61"/>
    <w:rPr>
      <w:rFonts w:eastAsia="Calibri"/>
      <w:sz w:val="24"/>
      <w:szCs w:val="22"/>
      <w:lang w:eastAsia="en-US"/>
    </w:rPr>
  </w:style>
  <w:style w:type="paragraph" w:styleId="BodyTextIndent">
    <w:name w:val="Body Text Indent"/>
    <w:basedOn w:val="Normal"/>
    <w:link w:val="BodyTextIndentChar"/>
    <w:rsid w:val="00D669AC"/>
    <w:pPr>
      <w:spacing w:after="120"/>
      <w:ind w:left="283"/>
    </w:pPr>
  </w:style>
  <w:style w:type="character" w:customStyle="1" w:styleId="BodyTextIndentChar">
    <w:name w:val="Body Text Indent Char"/>
    <w:link w:val="BodyTextIndent"/>
    <w:rsid w:val="00D669AC"/>
    <w:rPr>
      <w:rFonts w:eastAsia="Calibri"/>
      <w:sz w:val="24"/>
      <w:szCs w:val="22"/>
      <w:lang w:eastAsia="en-US"/>
    </w:rPr>
  </w:style>
  <w:style w:type="character" w:customStyle="1" w:styleId="Corpsdutexte">
    <w:name w:val="Corps du texte_"/>
    <w:link w:val="Corpsdutexte1"/>
    <w:uiPriority w:val="99"/>
    <w:rsid w:val="00D77142"/>
    <w:rPr>
      <w:sz w:val="22"/>
      <w:szCs w:val="22"/>
      <w:shd w:val="clear" w:color="auto" w:fill="FFFFFF"/>
    </w:rPr>
  </w:style>
  <w:style w:type="character" w:customStyle="1" w:styleId="En-tte6">
    <w:name w:val="En-tête #6_"/>
    <w:link w:val="En-tte61"/>
    <w:uiPriority w:val="99"/>
    <w:rsid w:val="00D77142"/>
    <w:rPr>
      <w:b/>
      <w:bCs/>
      <w:sz w:val="22"/>
      <w:szCs w:val="22"/>
      <w:shd w:val="clear" w:color="auto" w:fill="FFFFFF"/>
    </w:rPr>
  </w:style>
  <w:style w:type="character" w:customStyle="1" w:styleId="Corpsdutexte11">
    <w:name w:val="Corps du texte11"/>
    <w:uiPriority w:val="99"/>
    <w:rsid w:val="00D77142"/>
    <w:rPr>
      <w:sz w:val="22"/>
      <w:szCs w:val="22"/>
      <w:u w:val="single"/>
      <w:shd w:val="clear" w:color="auto" w:fill="FFFFFF"/>
    </w:rPr>
  </w:style>
  <w:style w:type="character" w:customStyle="1" w:styleId="Corpsdutexte10">
    <w:name w:val="Corps du texte10"/>
    <w:uiPriority w:val="99"/>
    <w:rsid w:val="00D77142"/>
    <w:rPr>
      <w:sz w:val="22"/>
      <w:szCs w:val="22"/>
      <w:u w:val="single"/>
      <w:shd w:val="clear" w:color="auto" w:fill="FFFFFF"/>
    </w:rPr>
  </w:style>
  <w:style w:type="character" w:customStyle="1" w:styleId="En-tte68">
    <w:name w:val="En-tête #68"/>
    <w:uiPriority w:val="99"/>
    <w:rsid w:val="00D77142"/>
    <w:rPr>
      <w:b/>
      <w:bCs/>
      <w:sz w:val="22"/>
      <w:szCs w:val="22"/>
      <w:u w:val="single"/>
      <w:shd w:val="clear" w:color="auto" w:fill="FFFFFF"/>
    </w:rPr>
  </w:style>
  <w:style w:type="paragraph" w:customStyle="1" w:styleId="Corpsdutexte1">
    <w:name w:val="Corps du texte1"/>
    <w:basedOn w:val="Normal"/>
    <w:link w:val="Corpsdutexte"/>
    <w:uiPriority w:val="99"/>
    <w:rsid w:val="00D77142"/>
    <w:pPr>
      <w:widowControl w:val="0"/>
      <w:shd w:val="clear" w:color="auto" w:fill="FFFFFF"/>
      <w:spacing w:before="2460" w:after="1200" w:line="240" w:lineRule="atLeast"/>
      <w:ind w:hanging="1180"/>
    </w:pPr>
    <w:rPr>
      <w:rFonts w:eastAsia="Times New Roman"/>
      <w:sz w:val="22"/>
      <w:lang w:eastAsia="lv-LV"/>
    </w:rPr>
  </w:style>
  <w:style w:type="paragraph" w:customStyle="1" w:styleId="En-tte61">
    <w:name w:val="En-tête #61"/>
    <w:basedOn w:val="Normal"/>
    <w:link w:val="En-tte6"/>
    <w:uiPriority w:val="99"/>
    <w:rsid w:val="00D77142"/>
    <w:pPr>
      <w:widowControl w:val="0"/>
      <w:shd w:val="clear" w:color="auto" w:fill="FFFFFF"/>
      <w:spacing w:before="300" w:after="180" w:line="254" w:lineRule="exact"/>
      <w:ind w:hanging="540"/>
      <w:outlineLvl w:val="5"/>
    </w:pPr>
    <w:rPr>
      <w:rFonts w:eastAsia="Times New Roman"/>
      <w:b/>
      <w:bCs/>
      <w:sz w:val="22"/>
      <w:lang w:eastAsia="lv-LV"/>
    </w:rPr>
  </w:style>
  <w:style w:type="paragraph" w:styleId="HTMLPreformatted">
    <w:name w:val="HTML Preformatted"/>
    <w:basedOn w:val="Normal"/>
    <w:link w:val="HTMLPreformattedChar"/>
    <w:rsid w:val="00F079FA"/>
    <w:rPr>
      <w:rFonts w:ascii="Courier New" w:hAnsi="Courier New" w:cs="Courier New"/>
      <w:sz w:val="20"/>
      <w:szCs w:val="20"/>
    </w:rPr>
  </w:style>
  <w:style w:type="character" w:customStyle="1" w:styleId="HTMLPreformattedChar">
    <w:name w:val="HTML Preformatted Char"/>
    <w:link w:val="HTMLPreformatted"/>
    <w:rsid w:val="00F079FA"/>
    <w:rPr>
      <w:rFonts w:ascii="Courier New" w:eastAsia="Calibri" w:hAnsi="Courier New" w:cs="Courier New"/>
      <w:lang w:eastAsia="en-US"/>
    </w:rPr>
  </w:style>
  <w:style w:type="table" w:styleId="TableGrid">
    <w:name w:val="Table Grid"/>
    <w:basedOn w:val="TableNormal"/>
    <w:uiPriority w:val="39"/>
    <w:rsid w:val="00EB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B33A9"/>
    <w:rPr>
      <w:color w:val="800080"/>
      <w:u w:val="single"/>
    </w:rPr>
  </w:style>
  <w:style w:type="paragraph" w:styleId="ListParagraph">
    <w:name w:val="List Paragraph"/>
    <w:basedOn w:val="Normal"/>
    <w:uiPriority w:val="34"/>
    <w:qFormat/>
    <w:rsid w:val="00DD2C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5715">
      <w:bodyDiv w:val="1"/>
      <w:marLeft w:val="0"/>
      <w:marRight w:val="0"/>
      <w:marTop w:val="0"/>
      <w:marBottom w:val="0"/>
      <w:divBdr>
        <w:top w:val="none" w:sz="0" w:space="0" w:color="auto"/>
        <w:left w:val="none" w:sz="0" w:space="0" w:color="auto"/>
        <w:bottom w:val="none" w:sz="0" w:space="0" w:color="auto"/>
        <w:right w:val="none" w:sz="0" w:space="0" w:color="auto"/>
      </w:divBdr>
      <w:divsChild>
        <w:div w:id="106198918">
          <w:marLeft w:val="360"/>
          <w:marRight w:val="0"/>
          <w:marTop w:val="200"/>
          <w:marBottom w:val="0"/>
          <w:divBdr>
            <w:top w:val="none" w:sz="0" w:space="0" w:color="auto"/>
            <w:left w:val="none" w:sz="0" w:space="0" w:color="auto"/>
            <w:bottom w:val="none" w:sz="0" w:space="0" w:color="auto"/>
            <w:right w:val="none" w:sz="0" w:space="0" w:color="auto"/>
          </w:divBdr>
        </w:div>
      </w:divsChild>
    </w:div>
    <w:div w:id="263654925">
      <w:bodyDiv w:val="1"/>
      <w:marLeft w:val="0"/>
      <w:marRight w:val="0"/>
      <w:marTop w:val="0"/>
      <w:marBottom w:val="0"/>
      <w:divBdr>
        <w:top w:val="none" w:sz="0" w:space="0" w:color="auto"/>
        <w:left w:val="none" w:sz="0" w:space="0" w:color="auto"/>
        <w:bottom w:val="none" w:sz="0" w:space="0" w:color="auto"/>
        <w:right w:val="none" w:sz="0" w:space="0" w:color="auto"/>
      </w:divBdr>
    </w:div>
    <w:div w:id="295381263">
      <w:bodyDiv w:val="1"/>
      <w:marLeft w:val="0"/>
      <w:marRight w:val="0"/>
      <w:marTop w:val="0"/>
      <w:marBottom w:val="0"/>
      <w:divBdr>
        <w:top w:val="none" w:sz="0" w:space="0" w:color="auto"/>
        <w:left w:val="none" w:sz="0" w:space="0" w:color="auto"/>
        <w:bottom w:val="none" w:sz="0" w:space="0" w:color="auto"/>
        <w:right w:val="none" w:sz="0" w:space="0" w:color="auto"/>
      </w:divBdr>
    </w:div>
    <w:div w:id="342245824">
      <w:bodyDiv w:val="1"/>
      <w:marLeft w:val="0"/>
      <w:marRight w:val="0"/>
      <w:marTop w:val="0"/>
      <w:marBottom w:val="0"/>
      <w:divBdr>
        <w:top w:val="none" w:sz="0" w:space="0" w:color="auto"/>
        <w:left w:val="none" w:sz="0" w:space="0" w:color="auto"/>
        <w:bottom w:val="none" w:sz="0" w:space="0" w:color="auto"/>
        <w:right w:val="none" w:sz="0" w:space="0" w:color="auto"/>
      </w:divBdr>
    </w:div>
    <w:div w:id="447161672">
      <w:bodyDiv w:val="1"/>
      <w:marLeft w:val="0"/>
      <w:marRight w:val="0"/>
      <w:marTop w:val="0"/>
      <w:marBottom w:val="0"/>
      <w:divBdr>
        <w:top w:val="none" w:sz="0" w:space="0" w:color="auto"/>
        <w:left w:val="none" w:sz="0" w:space="0" w:color="auto"/>
        <w:bottom w:val="none" w:sz="0" w:space="0" w:color="auto"/>
        <w:right w:val="none" w:sz="0" w:space="0" w:color="auto"/>
      </w:divBdr>
      <w:divsChild>
        <w:div w:id="73746854">
          <w:marLeft w:val="461"/>
          <w:marRight w:val="0"/>
          <w:marTop w:val="160"/>
          <w:marBottom w:val="0"/>
          <w:divBdr>
            <w:top w:val="none" w:sz="0" w:space="0" w:color="auto"/>
            <w:left w:val="none" w:sz="0" w:space="0" w:color="auto"/>
            <w:bottom w:val="none" w:sz="0" w:space="0" w:color="auto"/>
            <w:right w:val="none" w:sz="0" w:space="0" w:color="auto"/>
          </w:divBdr>
        </w:div>
        <w:div w:id="1612974878">
          <w:marLeft w:val="461"/>
          <w:marRight w:val="0"/>
          <w:marTop w:val="160"/>
          <w:marBottom w:val="0"/>
          <w:divBdr>
            <w:top w:val="none" w:sz="0" w:space="0" w:color="auto"/>
            <w:left w:val="none" w:sz="0" w:space="0" w:color="auto"/>
            <w:bottom w:val="none" w:sz="0" w:space="0" w:color="auto"/>
            <w:right w:val="none" w:sz="0" w:space="0" w:color="auto"/>
          </w:divBdr>
        </w:div>
      </w:divsChild>
    </w:div>
    <w:div w:id="464469046">
      <w:bodyDiv w:val="1"/>
      <w:marLeft w:val="0"/>
      <w:marRight w:val="0"/>
      <w:marTop w:val="0"/>
      <w:marBottom w:val="0"/>
      <w:divBdr>
        <w:top w:val="none" w:sz="0" w:space="0" w:color="auto"/>
        <w:left w:val="none" w:sz="0" w:space="0" w:color="auto"/>
        <w:bottom w:val="none" w:sz="0" w:space="0" w:color="auto"/>
        <w:right w:val="none" w:sz="0" w:space="0" w:color="auto"/>
      </w:divBdr>
    </w:div>
    <w:div w:id="50254933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700125849">
      <w:bodyDiv w:val="1"/>
      <w:marLeft w:val="0"/>
      <w:marRight w:val="0"/>
      <w:marTop w:val="0"/>
      <w:marBottom w:val="0"/>
      <w:divBdr>
        <w:top w:val="none" w:sz="0" w:space="0" w:color="auto"/>
        <w:left w:val="none" w:sz="0" w:space="0" w:color="auto"/>
        <w:bottom w:val="none" w:sz="0" w:space="0" w:color="auto"/>
        <w:right w:val="none" w:sz="0" w:space="0" w:color="auto"/>
      </w:divBdr>
    </w:div>
    <w:div w:id="780297006">
      <w:bodyDiv w:val="1"/>
      <w:marLeft w:val="0"/>
      <w:marRight w:val="0"/>
      <w:marTop w:val="0"/>
      <w:marBottom w:val="0"/>
      <w:divBdr>
        <w:top w:val="none" w:sz="0" w:space="0" w:color="auto"/>
        <w:left w:val="none" w:sz="0" w:space="0" w:color="auto"/>
        <w:bottom w:val="none" w:sz="0" w:space="0" w:color="auto"/>
        <w:right w:val="none" w:sz="0" w:space="0" w:color="auto"/>
      </w:divBdr>
    </w:div>
    <w:div w:id="802313688">
      <w:bodyDiv w:val="1"/>
      <w:marLeft w:val="0"/>
      <w:marRight w:val="0"/>
      <w:marTop w:val="0"/>
      <w:marBottom w:val="0"/>
      <w:divBdr>
        <w:top w:val="none" w:sz="0" w:space="0" w:color="auto"/>
        <w:left w:val="none" w:sz="0" w:space="0" w:color="auto"/>
        <w:bottom w:val="none" w:sz="0" w:space="0" w:color="auto"/>
        <w:right w:val="none" w:sz="0" w:space="0" w:color="auto"/>
      </w:divBdr>
      <w:divsChild>
        <w:div w:id="289289251">
          <w:marLeft w:val="461"/>
          <w:marRight w:val="0"/>
          <w:marTop w:val="160"/>
          <w:marBottom w:val="0"/>
          <w:divBdr>
            <w:top w:val="none" w:sz="0" w:space="0" w:color="auto"/>
            <w:left w:val="none" w:sz="0" w:space="0" w:color="auto"/>
            <w:bottom w:val="none" w:sz="0" w:space="0" w:color="auto"/>
            <w:right w:val="none" w:sz="0" w:space="0" w:color="auto"/>
          </w:divBdr>
        </w:div>
      </w:divsChild>
    </w:div>
    <w:div w:id="803471663">
      <w:bodyDiv w:val="1"/>
      <w:marLeft w:val="0"/>
      <w:marRight w:val="0"/>
      <w:marTop w:val="0"/>
      <w:marBottom w:val="0"/>
      <w:divBdr>
        <w:top w:val="none" w:sz="0" w:space="0" w:color="auto"/>
        <w:left w:val="none" w:sz="0" w:space="0" w:color="auto"/>
        <w:bottom w:val="none" w:sz="0" w:space="0" w:color="auto"/>
        <w:right w:val="none" w:sz="0" w:space="0" w:color="auto"/>
      </w:divBdr>
    </w:div>
    <w:div w:id="827064329">
      <w:bodyDiv w:val="1"/>
      <w:marLeft w:val="0"/>
      <w:marRight w:val="0"/>
      <w:marTop w:val="0"/>
      <w:marBottom w:val="0"/>
      <w:divBdr>
        <w:top w:val="none" w:sz="0" w:space="0" w:color="auto"/>
        <w:left w:val="none" w:sz="0" w:space="0" w:color="auto"/>
        <w:bottom w:val="none" w:sz="0" w:space="0" w:color="auto"/>
        <w:right w:val="none" w:sz="0" w:space="0" w:color="auto"/>
      </w:divBdr>
    </w:div>
    <w:div w:id="830875053">
      <w:bodyDiv w:val="1"/>
      <w:marLeft w:val="0"/>
      <w:marRight w:val="0"/>
      <w:marTop w:val="0"/>
      <w:marBottom w:val="0"/>
      <w:divBdr>
        <w:top w:val="none" w:sz="0" w:space="0" w:color="auto"/>
        <w:left w:val="none" w:sz="0" w:space="0" w:color="auto"/>
        <w:bottom w:val="none" w:sz="0" w:space="0" w:color="auto"/>
        <w:right w:val="none" w:sz="0" w:space="0" w:color="auto"/>
      </w:divBdr>
      <w:divsChild>
        <w:div w:id="654724600">
          <w:marLeft w:val="418"/>
          <w:marRight w:val="0"/>
          <w:marTop w:val="86"/>
          <w:marBottom w:val="0"/>
          <w:divBdr>
            <w:top w:val="none" w:sz="0" w:space="0" w:color="auto"/>
            <w:left w:val="none" w:sz="0" w:space="0" w:color="auto"/>
            <w:bottom w:val="none" w:sz="0" w:space="0" w:color="auto"/>
            <w:right w:val="none" w:sz="0" w:space="0" w:color="auto"/>
          </w:divBdr>
        </w:div>
        <w:div w:id="1470435687">
          <w:marLeft w:val="418"/>
          <w:marRight w:val="0"/>
          <w:marTop w:val="86"/>
          <w:marBottom w:val="0"/>
          <w:divBdr>
            <w:top w:val="none" w:sz="0" w:space="0" w:color="auto"/>
            <w:left w:val="none" w:sz="0" w:space="0" w:color="auto"/>
            <w:bottom w:val="none" w:sz="0" w:space="0" w:color="auto"/>
            <w:right w:val="none" w:sz="0" w:space="0" w:color="auto"/>
          </w:divBdr>
        </w:div>
      </w:divsChild>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085613981">
      <w:bodyDiv w:val="1"/>
      <w:marLeft w:val="0"/>
      <w:marRight w:val="0"/>
      <w:marTop w:val="0"/>
      <w:marBottom w:val="0"/>
      <w:divBdr>
        <w:top w:val="none" w:sz="0" w:space="0" w:color="auto"/>
        <w:left w:val="none" w:sz="0" w:space="0" w:color="auto"/>
        <w:bottom w:val="none" w:sz="0" w:space="0" w:color="auto"/>
        <w:right w:val="none" w:sz="0" w:space="0" w:color="auto"/>
      </w:divBdr>
      <w:divsChild>
        <w:div w:id="270170099">
          <w:marLeft w:val="547"/>
          <w:marRight w:val="0"/>
          <w:marTop w:val="67"/>
          <w:marBottom w:val="0"/>
          <w:divBdr>
            <w:top w:val="none" w:sz="0" w:space="0" w:color="auto"/>
            <w:left w:val="none" w:sz="0" w:space="0" w:color="auto"/>
            <w:bottom w:val="none" w:sz="0" w:space="0" w:color="auto"/>
            <w:right w:val="none" w:sz="0" w:space="0" w:color="auto"/>
          </w:divBdr>
        </w:div>
        <w:div w:id="829757546">
          <w:marLeft w:val="547"/>
          <w:marRight w:val="0"/>
          <w:marTop w:val="67"/>
          <w:marBottom w:val="0"/>
          <w:divBdr>
            <w:top w:val="none" w:sz="0" w:space="0" w:color="auto"/>
            <w:left w:val="none" w:sz="0" w:space="0" w:color="auto"/>
            <w:bottom w:val="none" w:sz="0" w:space="0" w:color="auto"/>
            <w:right w:val="none" w:sz="0" w:space="0" w:color="auto"/>
          </w:divBdr>
        </w:div>
        <w:div w:id="966742550">
          <w:marLeft w:val="965"/>
          <w:marRight w:val="0"/>
          <w:marTop w:val="77"/>
          <w:marBottom w:val="0"/>
          <w:divBdr>
            <w:top w:val="none" w:sz="0" w:space="0" w:color="auto"/>
            <w:left w:val="none" w:sz="0" w:space="0" w:color="auto"/>
            <w:bottom w:val="none" w:sz="0" w:space="0" w:color="auto"/>
            <w:right w:val="none" w:sz="0" w:space="0" w:color="auto"/>
          </w:divBdr>
        </w:div>
        <w:div w:id="1604923718">
          <w:marLeft w:val="965"/>
          <w:marRight w:val="0"/>
          <w:marTop w:val="77"/>
          <w:marBottom w:val="0"/>
          <w:divBdr>
            <w:top w:val="none" w:sz="0" w:space="0" w:color="auto"/>
            <w:left w:val="none" w:sz="0" w:space="0" w:color="auto"/>
            <w:bottom w:val="none" w:sz="0" w:space="0" w:color="auto"/>
            <w:right w:val="none" w:sz="0" w:space="0" w:color="auto"/>
          </w:divBdr>
        </w:div>
        <w:div w:id="1606107981">
          <w:marLeft w:val="965"/>
          <w:marRight w:val="0"/>
          <w:marTop w:val="77"/>
          <w:marBottom w:val="0"/>
          <w:divBdr>
            <w:top w:val="none" w:sz="0" w:space="0" w:color="auto"/>
            <w:left w:val="none" w:sz="0" w:space="0" w:color="auto"/>
            <w:bottom w:val="none" w:sz="0" w:space="0" w:color="auto"/>
            <w:right w:val="none" w:sz="0" w:space="0" w:color="auto"/>
          </w:divBdr>
        </w:div>
        <w:div w:id="1948997121">
          <w:marLeft w:val="965"/>
          <w:marRight w:val="0"/>
          <w:marTop w:val="77"/>
          <w:marBottom w:val="0"/>
          <w:divBdr>
            <w:top w:val="none" w:sz="0" w:space="0" w:color="auto"/>
            <w:left w:val="none" w:sz="0" w:space="0" w:color="auto"/>
            <w:bottom w:val="none" w:sz="0" w:space="0" w:color="auto"/>
            <w:right w:val="none" w:sz="0" w:space="0" w:color="auto"/>
          </w:divBdr>
        </w:div>
      </w:divsChild>
    </w:div>
    <w:div w:id="1120421060">
      <w:bodyDiv w:val="1"/>
      <w:marLeft w:val="0"/>
      <w:marRight w:val="0"/>
      <w:marTop w:val="0"/>
      <w:marBottom w:val="0"/>
      <w:divBdr>
        <w:top w:val="none" w:sz="0" w:space="0" w:color="auto"/>
        <w:left w:val="none" w:sz="0" w:space="0" w:color="auto"/>
        <w:bottom w:val="none" w:sz="0" w:space="0" w:color="auto"/>
        <w:right w:val="none" w:sz="0" w:space="0" w:color="auto"/>
      </w:divBdr>
    </w:div>
    <w:div w:id="1248223549">
      <w:bodyDiv w:val="1"/>
      <w:marLeft w:val="0"/>
      <w:marRight w:val="0"/>
      <w:marTop w:val="0"/>
      <w:marBottom w:val="0"/>
      <w:divBdr>
        <w:top w:val="none" w:sz="0" w:space="0" w:color="auto"/>
        <w:left w:val="none" w:sz="0" w:space="0" w:color="auto"/>
        <w:bottom w:val="none" w:sz="0" w:space="0" w:color="auto"/>
        <w:right w:val="none" w:sz="0" w:space="0" w:color="auto"/>
      </w:divBdr>
      <w:divsChild>
        <w:div w:id="665327668">
          <w:marLeft w:val="461"/>
          <w:marRight w:val="0"/>
          <w:marTop w:val="160"/>
          <w:marBottom w:val="0"/>
          <w:divBdr>
            <w:top w:val="none" w:sz="0" w:space="0" w:color="auto"/>
            <w:left w:val="none" w:sz="0" w:space="0" w:color="auto"/>
            <w:bottom w:val="none" w:sz="0" w:space="0" w:color="auto"/>
            <w:right w:val="none" w:sz="0" w:space="0" w:color="auto"/>
          </w:divBdr>
        </w:div>
        <w:div w:id="908463233">
          <w:marLeft w:val="461"/>
          <w:marRight w:val="0"/>
          <w:marTop w:val="160"/>
          <w:marBottom w:val="0"/>
          <w:divBdr>
            <w:top w:val="none" w:sz="0" w:space="0" w:color="auto"/>
            <w:left w:val="none" w:sz="0" w:space="0" w:color="auto"/>
            <w:bottom w:val="none" w:sz="0" w:space="0" w:color="auto"/>
            <w:right w:val="none" w:sz="0" w:space="0" w:color="auto"/>
          </w:divBdr>
        </w:div>
      </w:divsChild>
    </w:div>
    <w:div w:id="1288901300">
      <w:bodyDiv w:val="1"/>
      <w:marLeft w:val="0"/>
      <w:marRight w:val="0"/>
      <w:marTop w:val="0"/>
      <w:marBottom w:val="0"/>
      <w:divBdr>
        <w:top w:val="none" w:sz="0" w:space="0" w:color="auto"/>
        <w:left w:val="none" w:sz="0" w:space="0" w:color="auto"/>
        <w:bottom w:val="none" w:sz="0" w:space="0" w:color="auto"/>
        <w:right w:val="none" w:sz="0" w:space="0" w:color="auto"/>
      </w:divBdr>
    </w:div>
    <w:div w:id="1462571646">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577862225">
      <w:bodyDiv w:val="1"/>
      <w:marLeft w:val="0"/>
      <w:marRight w:val="0"/>
      <w:marTop w:val="0"/>
      <w:marBottom w:val="0"/>
      <w:divBdr>
        <w:top w:val="none" w:sz="0" w:space="0" w:color="auto"/>
        <w:left w:val="none" w:sz="0" w:space="0" w:color="auto"/>
        <w:bottom w:val="none" w:sz="0" w:space="0" w:color="auto"/>
        <w:right w:val="none" w:sz="0" w:space="0" w:color="auto"/>
      </w:divBdr>
    </w:div>
    <w:div w:id="1644430686">
      <w:bodyDiv w:val="1"/>
      <w:marLeft w:val="0"/>
      <w:marRight w:val="0"/>
      <w:marTop w:val="0"/>
      <w:marBottom w:val="0"/>
      <w:divBdr>
        <w:top w:val="none" w:sz="0" w:space="0" w:color="auto"/>
        <w:left w:val="none" w:sz="0" w:space="0" w:color="auto"/>
        <w:bottom w:val="none" w:sz="0" w:space="0" w:color="auto"/>
        <w:right w:val="none" w:sz="0" w:space="0" w:color="auto"/>
      </w:divBdr>
    </w:div>
    <w:div w:id="1779451091">
      <w:bodyDiv w:val="1"/>
      <w:marLeft w:val="0"/>
      <w:marRight w:val="0"/>
      <w:marTop w:val="0"/>
      <w:marBottom w:val="0"/>
      <w:divBdr>
        <w:top w:val="none" w:sz="0" w:space="0" w:color="auto"/>
        <w:left w:val="none" w:sz="0" w:space="0" w:color="auto"/>
        <w:bottom w:val="none" w:sz="0" w:space="0" w:color="auto"/>
        <w:right w:val="none" w:sz="0" w:space="0" w:color="auto"/>
      </w:divBdr>
    </w:div>
    <w:div w:id="1783988098">
      <w:bodyDiv w:val="1"/>
      <w:marLeft w:val="0"/>
      <w:marRight w:val="0"/>
      <w:marTop w:val="0"/>
      <w:marBottom w:val="0"/>
      <w:divBdr>
        <w:top w:val="none" w:sz="0" w:space="0" w:color="auto"/>
        <w:left w:val="none" w:sz="0" w:space="0" w:color="auto"/>
        <w:bottom w:val="none" w:sz="0" w:space="0" w:color="auto"/>
        <w:right w:val="none" w:sz="0" w:space="0" w:color="auto"/>
      </w:divBdr>
    </w:div>
    <w:div w:id="1788887172">
      <w:bodyDiv w:val="1"/>
      <w:marLeft w:val="0"/>
      <w:marRight w:val="0"/>
      <w:marTop w:val="0"/>
      <w:marBottom w:val="0"/>
      <w:divBdr>
        <w:top w:val="none" w:sz="0" w:space="0" w:color="auto"/>
        <w:left w:val="none" w:sz="0" w:space="0" w:color="auto"/>
        <w:bottom w:val="none" w:sz="0" w:space="0" w:color="auto"/>
        <w:right w:val="none" w:sz="0" w:space="0" w:color="auto"/>
      </w:divBdr>
      <w:divsChild>
        <w:div w:id="1576354216">
          <w:marLeft w:val="1800"/>
          <w:marRight w:val="0"/>
          <w:marTop w:val="100"/>
          <w:marBottom w:val="0"/>
          <w:divBdr>
            <w:top w:val="none" w:sz="0" w:space="0" w:color="auto"/>
            <w:left w:val="none" w:sz="0" w:space="0" w:color="auto"/>
            <w:bottom w:val="none" w:sz="0" w:space="0" w:color="auto"/>
            <w:right w:val="none" w:sz="0" w:space="0" w:color="auto"/>
          </w:divBdr>
        </w:div>
      </w:divsChild>
    </w:div>
    <w:div w:id="1850682793">
      <w:bodyDiv w:val="1"/>
      <w:marLeft w:val="0"/>
      <w:marRight w:val="0"/>
      <w:marTop w:val="0"/>
      <w:marBottom w:val="0"/>
      <w:divBdr>
        <w:top w:val="none" w:sz="0" w:space="0" w:color="auto"/>
        <w:left w:val="none" w:sz="0" w:space="0" w:color="auto"/>
        <w:bottom w:val="none" w:sz="0" w:space="0" w:color="auto"/>
        <w:right w:val="none" w:sz="0" w:space="0" w:color="auto"/>
      </w:divBdr>
      <w:divsChild>
        <w:div w:id="1343823593">
          <w:marLeft w:val="547"/>
          <w:marRight w:val="0"/>
          <w:marTop w:val="77"/>
          <w:marBottom w:val="0"/>
          <w:divBdr>
            <w:top w:val="none" w:sz="0" w:space="0" w:color="auto"/>
            <w:left w:val="none" w:sz="0" w:space="0" w:color="auto"/>
            <w:bottom w:val="none" w:sz="0" w:space="0" w:color="auto"/>
            <w:right w:val="none" w:sz="0" w:space="0" w:color="auto"/>
          </w:divBdr>
        </w:div>
      </w:divsChild>
    </w:div>
    <w:div w:id="1904751760">
      <w:bodyDiv w:val="1"/>
      <w:marLeft w:val="0"/>
      <w:marRight w:val="0"/>
      <w:marTop w:val="0"/>
      <w:marBottom w:val="0"/>
      <w:divBdr>
        <w:top w:val="none" w:sz="0" w:space="0" w:color="auto"/>
        <w:left w:val="none" w:sz="0" w:space="0" w:color="auto"/>
        <w:bottom w:val="none" w:sz="0" w:space="0" w:color="auto"/>
        <w:right w:val="none" w:sz="0" w:space="0" w:color="auto"/>
      </w:divBdr>
    </w:div>
    <w:div w:id="1929343597">
      <w:bodyDiv w:val="1"/>
      <w:marLeft w:val="0"/>
      <w:marRight w:val="0"/>
      <w:marTop w:val="0"/>
      <w:marBottom w:val="0"/>
      <w:divBdr>
        <w:top w:val="none" w:sz="0" w:space="0" w:color="auto"/>
        <w:left w:val="none" w:sz="0" w:space="0" w:color="auto"/>
        <w:bottom w:val="none" w:sz="0" w:space="0" w:color="auto"/>
        <w:right w:val="none" w:sz="0" w:space="0" w:color="auto"/>
      </w:divBdr>
      <w:divsChild>
        <w:div w:id="59792263">
          <w:marLeft w:val="547"/>
          <w:marRight w:val="0"/>
          <w:marTop w:val="77"/>
          <w:marBottom w:val="0"/>
          <w:divBdr>
            <w:top w:val="none" w:sz="0" w:space="0" w:color="auto"/>
            <w:left w:val="none" w:sz="0" w:space="0" w:color="auto"/>
            <w:bottom w:val="none" w:sz="0" w:space="0" w:color="auto"/>
            <w:right w:val="none" w:sz="0" w:space="0" w:color="auto"/>
          </w:divBdr>
        </w:div>
        <w:div w:id="64114728">
          <w:marLeft w:val="547"/>
          <w:marRight w:val="0"/>
          <w:marTop w:val="77"/>
          <w:marBottom w:val="0"/>
          <w:divBdr>
            <w:top w:val="none" w:sz="0" w:space="0" w:color="auto"/>
            <w:left w:val="none" w:sz="0" w:space="0" w:color="auto"/>
            <w:bottom w:val="none" w:sz="0" w:space="0" w:color="auto"/>
            <w:right w:val="none" w:sz="0" w:space="0" w:color="auto"/>
          </w:divBdr>
        </w:div>
        <w:div w:id="246306817">
          <w:marLeft w:val="547"/>
          <w:marRight w:val="0"/>
          <w:marTop w:val="77"/>
          <w:marBottom w:val="0"/>
          <w:divBdr>
            <w:top w:val="none" w:sz="0" w:space="0" w:color="auto"/>
            <w:left w:val="none" w:sz="0" w:space="0" w:color="auto"/>
            <w:bottom w:val="none" w:sz="0" w:space="0" w:color="auto"/>
            <w:right w:val="none" w:sz="0" w:space="0" w:color="auto"/>
          </w:divBdr>
        </w:div>
        <w:div w:id="441806882">
          <w:marLeft w:val="547"/>
          <w:marRight w:val="0"/>
          <w:marTop w:val="77"/>
          <w:marBottom w:val="0"/>
          <w:divBdr>
            <w:top w:val="none" w:sz="0" w:space="0" w:color="auto"/>
            <w:left w:val="none" w:sz="0" w:space="0" w:color="auto"/>
            <w:bottom w:val="none" w:sz="0" w:space="0" w:color="auto"/>
            <w:right w:val="none" w:sz="0" w:space="0" w:color="auto"/>
          </w:divBdr>
        </w:div>
        <w:div w:id="1672566868">
          <w:marLeft w:val="547"/>
          <w:marRight w:val="0"/>
          <w:marTop w:val="77"/>
          <w:marBottom w:val="0"/>
          <w:divBdr>
            <w:top w:val="none" w:sz="0" w:space="0" w:color="auto"/>
            <w:left w:val="none" w:sz="0" w:space="0" w:color="auto"/>
            <w:bottom w:val="none" w:sz="0" w:space="0" w:color="auto"/>
            <w:right w:val="none" w:sz="0" w:space="0" w:color="auto"/>
          </w:divBdr>
        </w:div>
        <w:div w:id="1930505995">
          <w:marLeft w:val="547"/>
          <w:marRight w:val="0"/>
          <w:marTop w:val="77"/>
          <w:marBottom w:val="0"/>
          <w:divBdr>
            <w:top w:val="none" w:sz="0" w:space="0" w:color="auto"/>
            <w:left w:val="none" w:sz="0" w:space="0" w:color="auto"/>
            <w:bottom w:val="none" w:sz="0" w:space="0" w:color="auto"/>
            <w:right w:val="none" w:sz="0" w:space="0" w:color="auto"/>
          </w:divBdr>
        </w:div>
      </w:divsChild>
    </w:div>
    <w:div w:id="1950745590">
      <w:bodyDiv w:val="1"/>
      <w:marLeft w:val="0"/>
      <w:marRight w:val="0"/>
      <w:marTop w:val="0"/>
      <w:marBottom w:val="0"/>
      <w:divBdr>
        <w:top w:val="none" w:sz="0" w:space="0" w:color="auto"/>
        <w:left w:val="none" w:sz="0" w:space="0" w:color="auto"/>
        <w:bottom w:val="none" w:sz="0" w:space="0" w:color="auto"/>
        <w:right w:val="none" w:sz="0" w:space="0" w:color="auto"/>
      </w:divBdr>
    </w:div>
    <w:div w:id="2078746531">
      <w:bodyDiv w:val="1"/>
      <w:marLeft w:val="0"/>
      <w:marRight w:val="0"/>
      <w:marTop w:val="0"/>
      <w:marBottom w:val="0"/>
      <w:divBdr>
        <w:top w:val="none" w:sz="0" w:space="0" w:color="auto"/>
        <w:left w:val="none" w:sz="0" w:space="0" w:color="auto"/>
        <w:bottom w:val="none" w:sz="0" w:space="0" w:color="auto"/>
        <w:right w:val="none" w:sz="0" w:space="0" w:color="auto"/>
      </w:divBdr>
    </w:div>
    <w:div w:id="2082605502">
      <w:bodyDiv w:val="1"/>
      <w:marLeft w:val="0"/>
      <w:marRight w:val="0"/>
      <w:marTop w:val="0"/>
      <w:marBottom w:val="0"/>
      <w:divBdr>
        <w:top w:val="none" w:sz="0" w:space="0" w:color="auto"/>
        <w:left w:val="none" w:sz="0" w:space="0" w:color="auto"/>
        <w:bottom w:val="none" w:sz="0" w:space="0" w:color="auto"/>
        <w:right w:val="none" w:sz="0" w:space="0" w:color="auto"/>
      </w:divBdr>
      <w:divsChild>
        <w:div w:id="1190994402">
          <w:marLeft w:val="360"/>
          <w:marRight w:val="0"/>
          <w:marTop w:val="200"/>
          <w:marBottom w:val="0"/>
          <w:divBdr>
            <w:top w:val="none" w:sz="0" w:space="0" w:color="auto"/>
            <w:left w:val="none" w:sz="0" w:space="0" w:color="auto"/>
            <w:bottom w:val="none" w:sz="0" w:space="0" w:color="auto"/>
            <w:right w:val="none" w:sz="0" w:space="0" w:color="auto"/>
          </w:divBdr>
        </w:div>
      </w:divsChild>
    </w:div>
    <w:div w:id="21246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a.europa.eu/sites/default/files/fra-2015-victims-crime-eu-support_en_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ra.europa.eu/sites/default/files/fra-2015-victims-crime-eu-support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E4EB-C680-4FB5-8CB2-83418F7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10148</Words>
  <Characters>5785</Characters>
  <Application>Microsoft Office Word</Application>
  <DocSecurity>4</DocSecurity>
  <Lines>48</Lines>
  <Paragraphs>31</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15902</CharactersWithSpaces>
  <SharedDoc>false</SharedDoc>
  <HLinks>
    <vt:vector size="12" baseType="variant">
      <vt:variant>
        <vt:i4>4522071</vt:i4>
      </vt:variant>
      <vt:variant>
        <vt:i4>0</vt:i4>
      </vt:variant>
      <vt:variant>
        <vt:i4>0</vt:i4>
      </vt:variant>
      <vt:variant>
        <vt:i4>5</vt:i4>
      </vt:variant>
      <vt:variant>
        <vt:lpwstr>http://fra.europa.eu/sites/default/files/fra-2015-victims-crime-eu-support_en_0.pdf</vt:lpwstr>
      </vt:variant>
      <vt:variant>
        <vt:lpwstr/>
      </vt:variant>
      <vt:variant>
        <vt:i4>4522071</vt:i4>
      </vt:variant>
      <vt:variant>
        <vt:i4>0</vt:i4>
      </vt:variant>
      <vt:variant>
        <vt:i4>0</vt:i4>
      </vt:variant>
      <vt:variant>
        <vt:i4>5</vt:i4>
      </vt:variant>
      <vt:variant>
        <vt:lpwstr>http://fra.europa.eu/sites/default/files/fra-2015-victims-crime-eu-support_en_0.pdf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Aija Jaunmuktane</dc:creator>
  <cp:lastModifiedBy>Gunta Lejiete</cp:lastModifiedBy>
  <cp:revision>2</cp:revision>
  <cp:lastPrinted>2016-09-20T12:43:00Z</cp:lastPrinted>
  <dcterms:created xsi:type="dcterms:W3CDTF">2016-10-19T11:32:00Z</dcterms:created>
  <dcterms:modified xsi:type="dcterms:W3CDTF">2016-10-19T11:32:00Z</dcterms:modified>
</cp:coreProperties>
</file>